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49D19" w14:textId="684C0BD0" w:rsidR="008D00AD" w:rsidRPr="007A4569" w:rsidRDefault="00000000">
      <w:pPr>
        <w:rPr>
          <w:rFonts w:ascii="Georgia" w:hAnsi="Georgia"/>
          <w:b/>
          <w:bCs/>
          <w:color w:val="1F4E79" w:themeColor="accent5" w:themeShade="80"/>
          <w:sz w:val="48"/>
          <w:szCs w:val="48"/>
        </w:rPr>
      </w:pPr>
      <w:r w:rsidRPr="007A4569">
        <w:rPr>
          <w:rFonts w:ascii="Georgia" w:hAnsi="Georgia"/>
          <w:b/>
          <w:bCs/>
          <w:noProof/>
          <w:color w:val="5B9BD5" w:themeColor="accent5"/>
          <w:sz w:val="48"/>
          <w:szCs w:val="48"/>
        </w:rPr>
        <w:drawing>
          <wp:anchor distT="0" distB="0" distL="114300" distR="114300" simplePos="0" relativeHeight="251658240" behindDoc="1" locked="0" layoutInCell="1" allowOverlap="1">
            <wp:simplePos x="0" y="0"/>
            <wp:positionH relativeFrom="column">
              <wp:posOffset>82610</wp:posOffset>
            </wp:positionH>
            <wp:positionV relativeFrom="page">
              <wp:posOffset>415952</wp:posOffset>
            </wp:positionV>
            <wp:extent cx="592455" cy="811530"/>
            <wp:effectExtent l="0" t="0" r="4445" b="1270"/>
            <wp:wrapTight wrapText="bothSides">
              <wp:wrapPolygon edited="0">
                <wp:start x="0" y="0"/>
                <wp:lineTo x="0" y="21296"/>
                <wp:lineTo x="21299" y="21296"/>
                <wp:lineTo x="21299" y="0"/>
                <wp:lineTo x="0" y="0"/>
              </wp:wrapPolygon>
            </wp:wrapTight>
            <wp:docPr id="1481794769" name="Picture 7" descr="A sign with a person in a p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794769" name="Picture 7" descr="A sign with a person in a pot&#10;&#10;Description automatically generated"/>
                    <pic:cNvPicPr/>
                  </pic:nvPicPr>
                  <pic:blipFill>
                    <a:blip r:embed="rId7" cstate="print">
                      <a:extLst>
                        <a:ext uri="{28A0092B-C50C-407E-A947-70E740481C1C}">
                          <a14:useLocalDpi xmlns:a14="http://schemas.microsoft.com/office/drawing/2010/main" val="0"/>
                        </a:ext>
                      </a:extLst>
                    </a:blip>
                    <a:srcRect l="13406" r="13406"/>
                    <a:stretch>
                      <a:fillRect/>
                    </a:stretch>
                  </pic:blipFill>
                  <pic:spPr bwMode="auto">
                    <a:xfrm>
                      <a:off x="0" y="0"/>
                      <a:ext cx="592455" cy="8115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969DA" w:rsidRPr="007A4569">
        <w:rPr>
          <w:rFonts w:ascii="Georgia" w:hAnsi="Georgia"/>
          <w:b/>
          <w:bCs/>
          <w:color w:val="1F4E79" w:themeColor="accent5" w:themeShade="80"/>
          <w:sz w:val="48"/>
          <w:szCs w:val="48"/>
        </w:rPr>
        <w:t>Cómo finalizar los reportes de auditoría</w:t>
      </w:r>
    </w:p>
    <w:p w14:paraId="0387FC74" w14:textId="7A606286" w:rsidR="00850EF5" w:rsidRPr="00E84998" w:rsidRDefault="00000000">
      <w:pPr>
        <w:rPr>
          <w:color w:val="7F7F7F" w:themeColor="text1" w:themeTint="80"/>
        </w:rPr>
      </w:pPr>
      <w:r>
        <w:rPr>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-1</wp:posOffset>
                </wp:positionH>
                <wp:positionV relativeFrom="paragraph">
                  <wp:posOffset>58371</wp:posOffset>
                </wp:positionV>
                <wp:extent cx="6412963" cy="0"/>
                <wp:effectExtent l="0" t="0" r="13335" b="12700"/>
                <wp:wrapNone/>
                <wp:docPr id="1266132294" name="Straight Connector 8"/>
                <wp:cNvGraphicFramePr/>
                <a:graphic xmlns:a="http://schemas.openxmlformats.org/drawingml/2006/main">
                  <a:graphicData uri="http://schemas.microsoft.com/office/word/2010/wordprocessingShape">
                    <wps:wsp>
                      <wps:cNvCnPr/>
                      <wps:spPr>
                        <a:xfrm>
                          <a:off x="0" y="0"/>
                          <a:ext cx="641296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18/wordml/cex">
            <w:pict>
              <v:line id="Straight Connector 8" o:spid="_x0000_s1025" style="mso-wrap-distance-bottom:0;mso-wrap-distance-left:9pt;mso-wrap-distance-right:9pt;mso-wrap-distance-top:0;mso-wrap-style:square;position:absolute;visibility:visible;z-index:251660288" from="0,4.6pt" to="504.95pt,4.6pt" strokecolor="#4472c4" strokeweight="0.5pt">
                <v:stroke joinstyle="miter"/>
              </v:line>
            </w:pict>
          </mc:Fallback>
        </mc:AlternateContent>
      </w:r>
    </w:p>
    <w:p w14:paraId="631BBE50" w14:textId="7DBBAF1C" w:rsidR="00E135B3" w:rsidRDefault="00000000" w:rsidP="0CD864BE">
      <w:pPr>
        <w:rPr>
          <w:rFonts w:ascii="Arial" w:hAnsi="Arial" w:cs="Arial"/>
          <w:color w:val="000000" w:themeColor="text1"/>
        </w:rPr>
      </w:pPr>
      <w:r w:rsidRPr="03E961EA">
        <w:rPr>
          <w:rFonts w:ascii="Arial" w:hAnsi="Arial" w:cs="Arial"/>
          <w:color w:val="000000" w:themeColor="text1"/>
        </w:rPr>
        <w:t>El propósito de esta guía es demostrar cómo generar Reportes Preliminares de Auditoría y Reportes Finales de Auditoría, así como acceder a ellos en el transcurso de una auditoría de Fair Trade USA™ (FTUSA) en ChainPoint.</w:t>
      </w:r>
    </w:p>
    <w:p w14:paraId="31EE0ADB" w14:textId="1F3DFD23" w:rsidR="0958F821" w:rsidRDefault="0958F821" w:rsidP="0958F821">
      <w:pPr>
        <w:rPr>
          <w:rFonts w:ascii="Arial" w:hAnsi="Arial" w:cs="Arial"/>
          <w:color w:val="000000" w:themeColor="text1"/>
        </w:rPr>
      </w:pPr>
    </w:p>
    <w:p w14:paraId="0EF1BEC4" w14:textId="31BA4CEC" w:rsidR="5DF2A8B9" w:rsidRDefault="5DF2A8B9" w:rsidP="5DF2A8B9">
      <w:pPr>
        <w:rPr>
          <w:rFonts w:ascii="Arial" w:hAnsi="Arial" w:cs="Arial"/>
          <w:color w:val="1F3864" w:themeColor="accent1" w:themeShade="80"/>
        </w:rPr>
      </w:pPr>
    </w:p>
    <w:p w14:paraId="1D67CAC7" w14:textId="798736C3" w:rsidR="5DF2A8B9" w:rsidRDefault="00000000" w:rsidP="5DF2A8B9">
      <w:pPr>
        <w:rPr>
          <w:rFonts w:ascii="Arial" w:eastAsia="Arial" w:hAnsi="Arial" w:cs="Arial"/>
          <w:color w:val="1F4E79" w:themeColor="accent5" w:themeShade="80"/>
          <w:sz w:val="28"/>
          <w:szCs w:val="28"/>
        </w:rPr>
      </w:pPr>
      <w:r w:rsidRPr="0958F821">
        <w:rPr>
          <w:rFonts w:ascii="Arial" w:eastAsia="Arial" w:hAnsi="Arial" w:cs="Arial"/>
          <w:b/>
          <w:bCs/>
          <w:color w:val="1F4E79" w:themeColor="accent5" w:themeShade="80"/>
          <w:sz w:val="28"/>
          <w:szCs w:val="28"/>
        </w:rPr>
        <w:t>Público de la capacitación</w:t>
      </w:r>
    </w:p>
    <w:p w14:paraId="2443AA78" w14:textId="13551C65" w:rsidR="0958F821" w:rsidRDefault="0958F821" w:rsidP="4A3A8F4A">
      <w:pPr>
        <w:rPr>
          <w:rFonts w:ascii="Arial" w:eastAsia="Arial" w:hAnsi="Arial" w:cs="Arial"/>
        </w:rPr>
      </w:pPr>
    </w:p>
    <w:p w14:paraId="0B81FEFF" w14:textId="0FC2E8FD" w:rsidR="5DF2A8B9" w:rsidRDefault="00000000" w:rsidP="1465564E">
      <w:pPr>
        <w:rPr>
          <w:rFonts w:ascii="Arial" w:eastAsia="Arial" w:hAnsi="Arial" w:cs="Arial"/>
        </w:rPr>
      </w:pPr>
      <w:r w:rsidRPr="03E961EA">
        <w:rPr>
          <w:rFonts w:ascii="Arial" w:eastAsia="Arial" w:hAnsi="Arial" w:cs="Arial"/>
        </w:rPr>
        <w:t>Esta guía pretende ser un recurso para los Organismos de Evaluación de Conformidad (OEC), el Equipo de Certificación de FTUSA y los Equipos Comerciales y de Productores de FTUSA.</w:t>
      </w:r>
    </w:p>
    <w:p w14:paraId="4F4DF1C9" w14:textId="18091B78" w:rsidR="5DF2A8B9" w:rsidRDefault="5DF2A8B9" w:rsidP="4A3A8F4A">
      <w:pPr>
        <w:rPr>
          <w:rFonts w:ascii="Arial" w:eastAsia="Arial" w:hAnsi="Arial" w:cs="Arial"/>
          <w:color w:val="1F3864" w:themeColor="accent1" w:themeShade="80"/>
        </w:rPr>
      </w:pPr>
    </w:p>
    <w:p w14:paraId="639E5188" w14:textId="30587844" w:rsidR="0958F821" w:rsidRDefault="0958F821" w:rsidP="0958F821">
      <w:pPr>
        <w:rPr>
          <w:rFonts w:ascii="Arial" w:eastAsia="Arial" w:hAnsi="Arial" w:cs="Arial"/>
          <w:color w:val="1F3864" w:themeColor="accent1" w:themeShade="80"/>
        </w:rPr>
      </w:pPr>
    </w:p>
    <w:p w14:paraId="3609E7D0" w14:textId="3659A542" w:rsidR="5DF2A8B9" w:rsidRDefault="00000000" w:rsidP="4118F725">
      <w:pPr>
        <w:rPr>
          <w:rFonts w:ascii="Arial" w:eastAsia="Arial" w:hAnsi="Arial" w:cs="Arial"/>
          <w:color w:val="1F4E79" w:themeColor="accent5" w:themeShade="80"/>
          <w:sz w:val="28"/>
          <w:szCs w:val="28"/>
        </w:rPr>
      </w:pPr>
      <w:r w:rsidRPr="4118F725">
        <w:rPr>
          <w:rFonts w:ascii="Arial" w:eastAsia="Arial" w:hAnsi="Arial" w:cs="Arial"/>
          <w:b/>
          <w:bCs/>
          <w:color w:val="1F4E79" w:themeColor="accent5" w:themeShade="80"/>
          <w:sz w:val="28"/>
          <w:szCs w:val="28"/>
        </w:rPr>
        <w:t>Reporte de auditoría: ¿Qué incluye?</w:t>
      </w:r>
    </w:p>
    <w:p w14:paraId="424330E9" w14:textId="3CA2112B" w:rsidR="5DF2A8B9" w:rsidRDefault="5DF2A8B9" w:rsidP="0958F821">
      <w:pPr>
        <w:rPr>
          <w:rFonts w:ascii="Arial" w:eastAsia="Arial" w:hAnsi="Arial" w:cs="Arial"/>
          <w:color w:val="1F4E79" w:themeColor="accent5" w:themeShade="80"/>
        </w:rPr>
      </w:pPr>
    </w:p>
    <w:p w14:paraId="149BAD96" w14:textId="38A37B2C" w:rsidR="5DF2A8B9" w:rsidRDefault="00000000" w:rsidP="4118F725">
      <w:pPr>
        <w:rPr>
          <w:rFonts w:ascii="Arial" w:eastAsia="Arial" w:hAnsi="Arial" w:cs="Arial"/>
          <w:color w:val="000000" w:themeColor="text1"/>
        </w:rPr>
      </w:pPr>
      <w:r w:rsidRPr="4118F725">
        <w:rPr>
          <w:rFonts w:ascii="Arial" w:eastAsia="Arial" w:hAnsi="Arial" w:cs="Arial"/>
          <w:color w:val="000000" w:themeColor="text1"/>
        </w:rPr>
        <w:t xml:space="preserve">Cada reporte de auditoría contiene las siguientes secciones: </w:t>
      </w:r>
    </w:p>
    <w:p w14:paraId="604B2658" w14:textId="678C414B" w:rsidR="5DF2A8B9" w:rsidRDefault="5DF2A8B9" w:rsidP="5DF2A8B9">
      <w:pPr>
        <w:rPr>
          <w:rFonts w:ascii="Arial" w:eastAsia="Arial" w:hAnsi="Arial" w:cs="Arial"/>
          <w:color w:val="000000" w:themeColor="text1"/>
        </w:rPr>
      </w:pPr>
    </w:p>
    <w:tbl>
      <w:tblPr>
        <w:tblStyle w:val="TableGridLight"/>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870"/>
        <w:gridCol w:w="5205"/>
      </w:tblGrid>
      <w:tr w:rsidR="00E44F55" w14:paraId="3BA112D0" w14:textId="77777777" w:rsidTr="03E961EA">
        <w:trPr>
          <w:trHeight w:val="420"/>
        </w:trPr>
        <w:tc>
          <w:tcPr>
            <w:tcW w:w="3870" w:type="dxa"/>
            <w:tcMar>
              <w:left w:w="105" w:type="dxa"/>
              <w:right w:w="105" w:type="dxa"/>
            </w:tcMar>
            <w:vAlign w:val="center"/>
          </w:tcPr>
          <w:p w14:paraId="21E602AE" w14:textId="6F7F8A0B" w:rsidR="5DF2A8B9" w:rsidRDefault="00000000" w:rsidP="5DF2A8B9">
            <w:pPr>
              <w:rPr>
                <w:rFonts w:ascii="Arial" w:eastAsia="Arial" w:hAnsi="Arial" w:cs="Arial"/>
              </w:rPr>
            </w:pPr>
            <w:r w:rsidRPr="5DF2A8B9">
              <w:rPr>
                <w:rFonts w:ascii="Arial" w:eastAsia="Arial" w:hAnsi="Arial" w:cs="Arial"/>
                <w:b/>
                <w:bCs/>
              </w:rPr>
              <w:t>Sección</w:t>
            </w:r>
          </w:p>
        </w:tc>
        <w:tc>
          <w:tcPr>
            <w:tcW w:w="5205" w:type="dxa"/>
            <w:tcMar>
              <w:left w:w="105" w:type="dxa"/>
              <w:right w:w="105" w:type="dxa"/>
            </w:tcMar>
            <w:vAlign w:val="center"/>
          </w:tcPr>
          <w:p w14:paraId="56EC5F43" w14:textId="454B5498" w:rsidR="5DF2A8B9" w:rsidRDefault="00000000" w:rsidP="5DF2A8B9">
            <w:pPr>
              <w:rPr>
                <w:rFonts w:ascii="Arial" w:eastAsia="Arial" w:hAnsi="Arial" w:cs="Arial"/>
              </w:rPr>
            </w:pPr>
            <w:r w:rsidRPr="5DF2A8B9">
              <w:rPr>
                <w:rFonts w:ascii="Arial" w:eastAsia="Arial" w:hAnsi="Arial" w:cs="Arial"/>
                <w:b/>
                <w:bCs/>
              </w:rPr>
              <w:t>Intención</w:t>
            </w:r>
          </w:p>
        </w:tc>
      </w:tr>
      <w:tr w:rsidR="00E44F55" w14:paraId="10FED49A" w14:textId="77777777" w:rsidTr="03E961EA">
        <w:trPr>
          <w:trHeight w:val="420"/>
        </w:trPr>
        <w:tc>
          <w:tcPr>
            <w:tcW w:w="3870" w:type="dxa"/>
            <w:tcMar>
              <w:left w:w="105" w:type="dxa"/>
              <w:right w:w="105" w:type="dxa"/>
            </w:tcMar>
            <w:vAlign w:val="center"/>
          </w:tcPr>
          <w:p w14:paraId="5730FCF1" w14:textId="39767ADD" w:rsidR="5DF2A8B9" w:rsidRDefault="00000000" w:rsidP="4118F725">
            <w:pPr>
              <w:spacing w:line="259" w:lineRule="auto"/>
            </w:pPr>
            <w:r w:rsidRPr="4118F725">
              <w:rPr>
                <w:rFonts w:ascii="Arial" w:eastAsia="Arial" w:hAnsi="Arial" w:cs="Arial"/>
              </w:rPr>
              <w:t>Información general de auditoría</w:t>
            </w:r>
          </w:p>
        </w:tc>
        <w:tc>
          <w:tcPr>
            <w:tcW w:w="5205" w:type="dxa"/>
            <w:tcMar>
              <w:left w:w="105" w:type="dxa"/>
              <w:right w:w="105" w:type="dxa"/>
            </w:tcMar>
            <w:vAlign w:val="center"/>
          </w:tcPr>
          <w:p w14:paraId="08CBFC0A" w14:textId="76E5AE6D" w:rsidR="5DF2A8B9" w:rsidRDefault="00000000" w:rsidP="4118F725">
            <w:pPr>
              <w:rPr>
                <w:rFonts w:ascii="Arial" w:eastAsia="Arial" w:hAnsi="Arial" w:cs="Arial"/>
              </w:rPr>
            </w:pPr>
            <w:r w:rsidRPr="4118F725">
              <w:rPr>
                <w:rFonts w:ascii="Arial" w:eastAsia="Arial" w:hAnsi="Arial" w:cs="Arial"/>
              </w:rPr>
              <w:t>Información general sobre la auditoría asociada, incluido el ID y el año de la auditoría, y el nombre del auditor</w:t>
            </w:r>
          </w:p>
        </w:tc>
      </w:tr>
      <w:tr w:rsidR="00E44F55" w14:paraId="5B9668E1" w14:textId="77777777" w:rsidTr="03E961EA">
        <w:trPr>
          <w:trHeight w:val="420"/>
        </w:trPr>
        <w:tc>
          <w:tcPr>
            <w:tcW w:w="3870" w:type="dxa"/>
            <w:tcMar>
              <w:left w:w="105" w:type="dxa"/>
              <w:right w:w="105" w:type="dxa"/>
            </w:tcMar>
            <w:vAlign w:val="center"/>
          </w:tcPr>
          <w:p w14:paraId="3D69A8F3" w14:textId="0C8FAA14" w:rsidR="5DF2A8B9" w:rsidRDefault="00000000" w:rsidP="4118F725">
            <w:pPr>
              <w:rPr>
                <w:rFonts w:ascii="Arial" w:eastAsia="Arial" w:hAnsi="Arial" w:cs="Arial"/>
              </w:rPr>
            </w:pPr>
            <w:r w:rsidRPr="4118F725">
              <w:rPr>
                <w:rFonts w:ascii="Arial" w:eastAsia="Arial" w:hAnsi="Arial" w:cs="Arial"/>
              </w:rPr>
              <w:t>Resumen del módulo</w:t>
            </w:r>
          </w:p>
        </w:tc>
        <w:tc>
          <w:tcPr>
            <w:tcW w:w="5205" w:type="dxa"/>
            <w:tcMar>
              <w:left w:w="105" w:type="dxa"/>
              <w:right w:w="105" w:type="dxa"/>
            </w:tcMar>
            <w:vAlign w:val="center"/>
          </w:tcPr>
          <w:p w14:paraId="14DA870C" w14:textId="11FD00B4" w:rsidR="5DF2A8B9" w:rsidRDefault="00000000" w:rsidP="4118F725">
            <w:pPr>
              <w:rPr>
                <w:rFonts w:ascii="Arial" w:eastAsia="Arial" w:hAnsi="Arial" w:cs="Arial"/>
              </w:rPr>
            </w:pPr>
            <w:r w:rsidRPr="4118F725">
              <w:rPr>
                <w:rFonts w:ascii="Arial" w:eastAsia="Arial" w:hAnsi="Arial" w:cs="Arial"/>
              </w:rPr>
              <w:t>Número de incumplimientos (NC) críticos y de progreso encontrados en cada módulo</w:t>
            </w:r>
          </w:p>
        </w:tc>
      </w:tr>
      <w:tr w:rsidR="00E44F55" w14:paraId="777A1078" w14:textId="77777777" w:rsidTr="03E961EA">
        <w:trPr>
          <w:trHeight w:val="420"/>
        </w:trPr>
        <w:tc>
          <w:tcPr>
            <w:tcW w:w="3870" w:type="dxa"/>
            <w:tcMar>
              <w:left w:w="105" w:type="dxa"/>
              <w:right w:w="105" w:type="dxa"/>
            </w:tcMar>
            <w:vAlign w:val="center"/>
          </w:tcPr>
          <w:p w14:paraId="691AE26B" w14:textId="14380CAA" w:rsidR="5DF2A8B9" w:rsidRDefault="00000000" w:rsidP="5DF2A8B9">
            <w:pPr>
              <w:spacing w:line="259" w:lineRule="auto"/>
            </w:pPr>
            <w:r w:rsidRPr="5DF2A8B9">
              <w:rPr>
                <w:rFonts w:ascii="Arial" w:eastAsia="Arial" w:hAnsi="Arial" w:cs="Arial"/>
              </w:rPr>
              <w:t>Resumen de los puntos de progreso*</w:t>
            </w:r>
          </w:p>
        </w:tc>
        <w:tc>
          <w:tcPr>
            <w:tcW w:w="5205" w:type="dxa"/>
            <w:tcMar>
              <w:left w:w="105" w:type="dxa"/>
              <w:right w:w="105" w:type="dxa"/>
            </w:tcMar>
            <w:vAlign w:val="center"/>
          </w:tcPr>
          <w:p w14:paraId="392D5043" w14:textId="42C68600" w:rsidR="5DF2A8B9" w:rsidRDefault="00000000" w:rsidP="4118F725">
            <w:pPr>
              <w:rPr>
                <w:rFonts w:ascii="Arial" w:eastAsia="Arial" w:hAnsi="Arial" w:cs="Arial"/>
              </w:rPr>
            </w:pPr>
            <w:r w:rsidRPr="4118F725">
              <w:rPr>
                <w:rFonts w:ascii="Arial" w:eastAsia="Arial" w:hAnsi="Arial" w:cs="Arial"/>
              </w:rPr>
              <w:t>Descripción general de los puntos de progreso alcanzados y si se han cumplido los requisitos del programa</w:t>
            </w:r>
          </w:p>
          <w:p w14:paraId="5E12B8ED" w14:textId="664375AD" w:rsidR="5DF2A8B9" w:rsidRDefault="00000000" w:rsidP="2DFF8D99">
            <w:pPr>
              <w:rPr>
                <w:rFonts w:ascii="Arial" w:eastAsia="Arial" w:hAnsi="Arial" w:cs="Arial"/>
              </w:rPr>
            </w:pPr>
            <w:r w:rsidRPr="03E961EA">
              <w:rPr>
                <w:rFonts w:ascii="Arial" w:eastAsia="Arial" w:hAnsi="Arial" w:cs="Arial"/>
              </w:rPr>
              <w:t>*Solo Estándar de Producción Agrícola (APS) y Estándar de Pesca de Captura (CFS)*</w:t>
            </w:r>
          </w:p>
        </w:tc>
      </w:tr>
      <w:tr w:rsidR="00E44F55" w14:paraId="493A42CC" w14:textId="77777777" w:rsidTr="03E961EA">
        <w:trPr>
          <w:trHeight w:val="420"/>
        </w:trPr>
        <w:tc>
          <w:tcPr>
            <w:tcW w:w="3870" w:type="dxa"/>
            <w:tcMar>
              <w:left w:w="105" w:type="dxa"/>
              <w:right w:w="105" w:type="dxa"/>
            </w:tcMar>
            <w:vAlign w:val="center"/>
          </w:tcPr>
          <w:p w14:paraId="7DAA710D" w14:textId="37A84861" w:rsidR="5DF2A8B9" w:rsidRDefault="00000000" w:rsidP="4118F725">
            <w:pPr>
              <w:spacing w:line="259" w:lineRule="auto"/>
            </w:pPr>
            <w:r w:rsidRPr="4118F725">
              <w:rPr>
                <w:rFonts w:ascii="Arial" w:eastAsia="Arial" w:hAnsi="Arial" w:cs="Arial"/>
              </w:rPr>
              <w:t>Resumen de los incumplimientos</w:t>
            </w:r>
          </w:p>
        </w:tc>
        <w:tc>
          <w:tcPr>
            <w:tcW w:w="5205" w:type="dxa"/>
            <w:tcMar>
              <w:left w:w="105" w:type="dxa"/>
              <w:right w:w="105" w:type="dxa"/>
            </w:tcMar>
            <w:vAlign w:val="center"/>
          </w:tcPr>
          <w:p w14:paraId="6A281B84" w14:textId="06F098B1" w:rsidR="5DF2A8B9" w:rsidRDefault="00000000" w:rsidP="4118F725">
            <w:pPr>
              <w:rPr>
                <w:rFonts w:ascii="Arial" w:eastAsia="Arial" w:hAnsi="Arial" w:cs="Arial"/>
              </w:rPr>
            </w:pPr>
            <w:r w:rsidRPr="4118F725">
              <w:rPr>
                <w:rFonts w:ascii="Arial" w:eastAsia="Arial" w:hAnsi="Arial" w:cs="Arial"/>
              </w:rPr>
              <w:t>Detalles de los incumplimientos individuales detectados durante la auditoría</w:t>
            </w:r>
          </w:p>
        </w:tc>
      </w:tr>
    </w:tbl>
    <w:p w14:paraId="72F5C7A3" w14:textId="657BF503" w:rsidR="5DF2A8B9" w:rsidRDefault="5DF2A8B9" w:rsidP="4A3A8F4A">
      <w:pPr>
        <w:rPr>
          <w:rFonts w:ascii="Arial" w:eastAsia="Arial" w:hAnsi="Arial" w:cs="Arial"/>
          <w:color w:val="000000" w:themeColor="text1"/>
        </w:rPr>
      </w:pPr>
    </w:p>
    <w:p w14:paraId="7ACB14BA" w14:textId="284563B4" w:rsidR="62ACDA5A" w:rsidRDefault="00000000" w:rsidP="62ACDA5A">
      <w:pPr>
        <w:rPr>
          <w:rFonts w:ascii="Arial" w:eastAsia="Arial" w:hAnsi="Arial" w:cs="Arial"/>
          <w:color w:val="000000" w:themeColor="text1"/>
        </w:rPr>
      </w:pPr>
      <w:r w:rsidRPr="62ACDA5A">
        <w:rPr>
          <w:rFonts w:ascii="Arial" w:eastAsia="Arial" w:hAnsi="Arial" w:cs="Arial"/>
          <w:color w:val="000000" w:themeColor="text1"/>
        </w:rPr>
        <w:t xml:space="preserve">Tenga en cuenta que en ChainPoint, los reportes de auditoría preliminares y finales se generan automáticamente a partir de los hallazgos de la auditoría en formato PDF. Si el reporte contiene información que necesita ser actualizada, los criterios afectados deben ser actualizados en la lista de verificación de auditoría. </w:t>
      </w:r>
    </w:p>
    <w:p w14:paraId="5FB91A37" w14:textId="58031563" w:rsidR="0958F821" w:rsidRDefault="0958F821" w:rsidP="0958F821">
      <w:pPr>
        <w:rPr>
          <w:rFonts w:ascii="Arial" w:eastAsia="Arial" w:hAnsi="Arial" w:cs="Arial"/>
          <w:color w:val="000000" w:themeColor="text1"/>
        </w:rPr>
      </w:pPr>
    </w:p>
    <w:p w14:paraId="344B99E4" w14:textId="1E2B4A42" w:rsidR="4118F725" w:rsidRDefault="00000000" w:rsidP="04B1E3EF">
      <w:pPr>
        <w:rPr>
          <w:rFonts w:ascii="Arial" w:eastAsia="Arial" w:hAnsi="Arial" w:cs="Arial"/>
        </w:rPr>
      </w:pPr>
      <w:r w:rsidRPr="62ACDA5A">
        <w:rPr>
          <w:rFonts w:ascii="Arial" w:eastAsia="Arial" w:hAnsi="Arial" w:cs="Arial"/>
        </w:rPr>
        <w:t xml:space="preserve">Se genera una versión de borrador del Reporte Preliminar cuando la auditoría pasa del estado Auditoría en Progreso a Borrador de Reporte Preliminar.  El Reporte de Auditoría Preliminar se finaliza y se comparte con el Titular del Certificado cuando el auditor principal avanza el estado de la audit a “Listo para revisión técnica”.  </w:t>
      </w:r>
    </w:p>
    <w:p w14:paraId="62603C4C" w14:textId="5C215339" w:rsidR="4118F725" w:rsidRDefault="4118F725" w:rsidP="04B1E3EF">
      <w:pPr>
        <w:rPr>
          <w:rFonts w:ascii="Arial" w:eastAsia="Arial" w:hAnsi="Arial" w:cs="Arial"/>
        </w:rPr>
      </w:pPr>
    </w:p>
    <w:p w14:paraId="52ABDB09" w14:textId="02C35581" w:rsidR="4118F725" w:rsidRDefault="00000000" w:rsidP="4118F725">
      <w:r>
        <w:rPr>
          <w:noProof/>
        </w:rPr>
        <w:lastRenderedPageBreak/>
        <w:drawing>
          <wp:inline distT="0" distB="0" distL="0" distR="0">
            <wp:extent cx="6013620" cy="2781300"/>
            <wp:effectExtent l="0" t="0" r="0" b="0"/>
            <wp:docPr id="1191444818" name="Picture 1191444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444818" name=""/>
                    <pic:cNvPicPr/>
                  </pic:nvPicPr>
                  <pic:blipFill>
                    <a:blip r:embed="rId8">
                      <a:extLst>
                        <a:ext uri="{28A0092B-C50C-407E-A947-70E740481C1C}">
                          <a14:useLocalDpi xmlns:a14="http://schemas.microsoft.com/office/drawing/2010/main" val="0"/>
                        </a:ext>
                      </a:extLst>
                    </a:blip>
                    <a:stretch>
                      <a:fillRect/>
                    </a:stretch>
                  </pic:blipFill>
                  <pic:spPr>
                    <a:xfrm>
                      <a:off x="0" y="0"/>
                      <a:ext cx="6013620" cy="2781300"/>
                    </a:xfrm>
                    <a:prstGeom prst="rect">
                      <a:avLst/>
                    </a:prstGeom>
                  </pic:spPr>
                </pic:pic>
              </a:graphicData>
            </a:graphic>
          </wp:inline>
        </w:drawing>
      </w:r>
    </w:p>
    <w:p w14:paraId="0B0E747D" w14:textId="773C6132" w:rsidR="4118F725" w:rsidRDefault="00000000" w:rsidP="00066FAC">
      <w:pPr>
        <w:spacing w:line="259" w:lineRule="auto"/>
        <w:rPr>
          <w:rFonts w:ascii="Arial" w:eastAsia="Arial" w:hAnsi="Arial" w:cs="Arial"/>
        </w:rPr>
      </w:pPr>
      <w:r w:rsidRPr="6C80AD8D">
        <w:rPr>
          <w:rFonts w:ascii="Arial" w:eastAsia="Arial" w:hAnsi="Arial" w:cs="Arial"/>
        </w:rPr>
        <w:t xml:space="preserve">Para acceder y descargar el reporte preliminar, vaya a la sección Información general de la Portada de auditoría y seleccione el nombre del reporte junto a Reporte de auditoría preliminar. Abra el reporte con un visualizador de PDF o un navegador. Los administradores del programa CAB, los revisores técnicos y los auditores deben tener acceso para ver y descargar el reporte preliminar. </w:t>
      </w:r>
    </w:p>
    <w:p w14:paraId="666010A9" w14:textId="0476123D" w:rsidR="4118F725" w:rsidRDefault="4118F725" w:rsidP="04B1E3EF">
      <w:pPr>
        <w:rPr>
          <w:rFonts w:ascii="Arial" w:eastAsia="Arial" w:hAnsi="Arial" w:cs="Arial"/>
        </w:rPr>
      </w:pPr>
    </w:p>
    <w:p w14:paraId="6EAFC552" w14:textId="62B12AEF" w:rsidR="4118F725" w:rsidRDefault="00000000" w:rsidP="04B1E3EF">
      <w:pPr>
        <w:rPr>
          <w:rFonts w:ascii="Arial" w:eastAsia="Arial" w:hAnsi="Arial" w:cs="Arial"/>
        </w:rPr>
      </w:pPr>
      <w:r>
        <w:rPr>
          <w:noProof/>
        </w:rPr>
        <w:drawing>
          <wp:inline distT="0" distB="0" distL="0" distR="0">
            <wp:extent cx="5856270" cy="1085850"/>
            <wp:effectExtent l="0" t="0" r="0" b="0"/>
            <wp:docPr id="1348188913" name="Picture 1348188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188913" name=""/>
                    <pic:cNvPicPr/>
                  </pic:nvPicPr>
                  <pic:blipFill>
                    <a:blip r:embed="rId9">
                      <a:extLst>
                        <a:ext uri="{28A0092B-C50C-407E-A947-70E740481C1C}">
                          <a14:useLocalDpi xmlns:a14="http://schemas.microsoft.com/office/drawing/2010/main" val="0"/>
                        </a:ext>
                      </a:extLst>
                    </a:blip>
                    <a:stretch>
                      <a:fillRect/>
                    </a:stretch>
                  </pic:blipFill>
                  <pic:spPr>
                    <a:xfrm>
                      <a:off x="0" y="0"/>
                      <a:ext cx="5856270" cy="1085850"/>
                    </a:xfrm>
                    <a:prstGeom prst="rect">
                      <a:avLst/>
                    </a:prstGeom>
                  </pic:spPr>
                </pic:pic>
              </a:graphicData>
            </a:graphic>
          </wp:inline>
        </w:drawing>
      </w:r>
    </w:p>
    <w:p w14:paraId="56EA080A" w14:textId="0C6D8E28" w:rsidR="4118F725" w:rsidRDefault="4118F725" w:rsidP="04B1E3EF">
      <w:pPr>
        <w:rPr>
          <w:rFonts w:ascii="Arial" w:eastAsia="Arial" w:hAnsi="Arial" w:cs="Arial"/>
        </w:rPr>
      </w:pPr>
    </w:p>
    <w:p w14:paraId="2D26BF5F" w14:textId="0D12193A" w:rsidR="4118F725" w:rsidRDefault="00000000" w:rsidP="0958F821">
      <w:pPr>
        <w:rPr>
          <w:rFonts w:ascii="Arial" w:eastAsia="Arial" w:hAnsi="Arial" w:cs="Arial"/>
          <w:b/>
          <w:bCs/>
          <w:color w:val="1F4E79" w:themeColor="accent5" w:themeShade="80"/>
        </w:rPr>
      </w:pPr>
      <w:r w:rsidRPr="62ACDA5A">
        <w:rPr>
          <w:rFonts w:ascii="Arial" w:eastAsia="Arial" w:hAnsi="Arial" w:cs="Arial"/>
        </w:rPr>
        <w:t xml:space="preserve">El Auditor Principal junto con el Titular del Certificado (CH) deben revisar el Reporte Preliminar de Auditoría durante la reunión de cierre. El CH tendrá acceso al Reporte Preliminar y al Reporte de Auditoría Final desde la sección de Certificado en ChainPoint. </w:t>
      </w:r>
    </w:p>
    <w:p w14:paraId="418476A1" w14:textId="5F5076CE" w:rsidR="4118F725" w:rsidRDefault="4118F725" w:rsidP="0958F821">
      <w:pPr>
        <w:rPr>
          <w:rFonts w:ascii="Arial" w:eastAsia="Arial" w:hAnsi="Arial" w:cs="Arial"/>
          <w:b/>
          <w:bCs/>
          <w:color w:val="1F4E79" w:themeColor="accent5" w:themeShade="80"/>
        </w:rPr>
      </w:pPr>
    </w:p>
    <w:p w14:paraId="6878B639" w14:textId="7AA5B4A2" w:rsidR="5DF2A8B9" w:rsidRDefault="00000000" w:rsidP="4118F725">
      <w:pPr>
        <w:rPr>
          <w:rFonts w:ascii="Arial" w:eastAsia="Arial" w:hAnsi="Arial" w:cs="Arial"/>
          <w:color w:val="1F4E79" w:themeColor="accent5" w:themeShade="80"/>
          <w:sz w:val="28"/>
          <w:szCs w:val="28"/>
        </w:rPr>
      </w:pPr>
      <w:r w:rsidRPr="4118F725">
        <w:rPr>
          <w:rFonts w:ascii="Arial" w:eastAsia="Arial" w:hAnsi="Arial" w:cs="Arial"/>
          <w:b/>
          <w:bCs/>
          <w:color w:val="1F4E79" w:themeColor="accent5" w:themeShade="80"/>
          <w:sz w:val="28"/>
          <w:szCs w:val="28"/>
        </w:rPr>
        <w:t>Reportes Finales de Auditoría</w:t>
      </w:r>
    </w:p>
    <w:p w14:paraId="0558A71F" w14:textId="1BF9EC5C" w:rsidR="5DF2A8B9" w:rsidRDefault="5DF2A8B9" w:rsidP="0958F821">
      <w:pPr>
        <w:rPr>
          <w:rFonts w:ascii="Arial" w:eastAsia="Arial" w:hAnsi="Arial" w:cs="Arial"/>
          <w:color w:val="1F4E79" w:themeColor="accent5" w:themeShade="80"/>
        </w:rPr>
      </w:pPr>
    </w:p>
    <w:p w14:paraId="1C36BC83" w14:textId="272FC62A" w:rsidR="5DF2A8B9" w:rsidRDefault="5DF2A8B9" w:rsidP="5DF2A8B9">
      <w:pPr>
        <w:rPr>
          <w:rFonts w:ascii="Arial" w:eastAsia="Arial" w:hAnsi="Arial" w:cs="Arial"/>
          <w:color w:val="000000" w:themeColor="text1"/>
        </w:rPr>
      </w:pPr>
    </w:p>
    <w:p w14:paraId="23B01442" w14:textId="20B356EF" w:rsidR="4118F725" w:rsidRDefault="4118F725" w:rsidP="4118F725">
      <w:pPr>
        <w:rPr>
          <w:rFonts w:ascii="Arial" w:hAnsi="Arial" w:cs="Arial"/>
          <w:color w:val="1F3864" w:themeColor="accent1" w:themeShade="80"/>
        </w:rPr>
      </w:pPr>
    </w:p>
    <w:p w14:paraId="2386AA30" w14:textId="01C252FC" w:rsidR="4118F725" w:rsidRDefault="4118F725" w:rsidP="4118F725">
      <w:pPr>
        <w:rPr>
          <w:rFonts w:ascii="Arial" w:eastAsia="Arial" w:hAnsi="Arial" w:cs="Arial"/>
        </w:rPr>
      </w:pPr>
    </w:p>
    <w:p w14:paraId="690D330E" w14:textId="112974A1" w:rsidR="4118F725" w:rsidRDefault="00000000" w:rsidP="00066FAC">
      <w:pPr>
        <w:spacing w:line="259" w:lineRule="auto"/>
        <w:rPr>
          <w:rFonts w:ascii="Arial" w:eastAsia="Arial" w:hAnsi="Arial" w:cs="Arial"/>
        </w:rPr>
      </w:pPr>
      <w:r w:rsidRPr="44FA134B">
        <w:rPr>
          <w:rFonts w:ascii="Arial" w:eastAsia="Arial" w:hAnsi="Arial" w:cs="Arial"/>
        </w:rPr>
        <w:t xml:space="preserve">Los Reportes Finales de Auditoría son generados por ChainPoint después de que el Revisor Técnico avanza la audit del estado Revisión Técnica en Curso a Informe Final Enviado. Tenga en cuenta que el Revisor de PAC debe ser asignado por el Revisor Técnico o el Administrador del Programa del OEC, antes de avanzar el formulario a Informe Final Enviado. </w:t>
      </w:r>
    </w:p>
    <w:p w14:paraId="7077D844" w14:textId="5C81C0E8" w:rsidR="4118F725" w:rsidRDefault="4118F725" w:rsidP="04B1E3EF">
      <w:pPr>
        <w:rPr>
          <w:rFonts w:ascii="Arial" w:eastAsia="Arial" w:hAnsi="Arial" w:cs="Arial"/>
        </w:rPr>
      </w:pPr>
    </w:p>
    <w:p w14:paraId="1C43437B" w14:textId="17C97011" w:rsidR="4118F725" w:rsidRDefault="00000000" w:rsidP="4118F725">
      <w:r>
        <w:rPr>
          <w:noProof/>
        </w:rPr>
        <w:lastRenderedPageBreak/>
        <w:drawing>
          <wp:inline distT="0" distB="0" distL="0" distR="0">
            <wp:extent cx="5867400" cy="2530316"/>
            <wp:effectExtent l="0" t="0" r="0" b="0"/>
            <wp:docPr id="1743538766" name="Picture 1743538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538766" name=""/>
                    <pic:cNvPicPr/>
                  </pic:nvPicPr>
                  <pic:blipFill>
                    <a:blip r:embed="rId10">
                      <a:extLst>
                        <a:ext uri="{28A0092B-C50C-407E-A947-70E740481C1C}">
                          <a14:useLocalDpi xmlns:a14="http://schemas.microsoft.com/office/drawing/2010/main" val="0"/>
                        </a:ext>
                      </a:extLst>
                    </a:blip>
                    <a:stretch>
                      <a:fillRect/>
                    </a:stretch>
                  </pic:blipFill>
                  <pic:spPr>
                    <a:xfrm>
                      <a:off x="0" y="0"/>
                      <a:ext cx="5867400" cy="2530316"/>
                    </a:xfrm>
                    <a:prstGeom prst="rect">
                      <a:avLst/>
                    </a:prstGeom>
                  </pic:spPr>
                </pic:pic>
              </a:graphicData>
            </a:graphic>
          </wp:inline>
        </w:drawing>
      </w:r>
    </w:p>
    <w:p w14:paraId="339C55F1" w14:textId="74D77899" w:rsidR="4118F725" w:rsidRDefault="4118F725" w:rsidP="04B1E3EF">
      <w:pPr>
        <w:rPr>
          <w:rFonts w:ascii="Arial" w:eastAsia="Arial" w:hAnsi="Arial" w:cs="Arial"/>
        </w:rPr>
      </w:pPr>
    </w:p>
    <w:p w14:paraId="6B2185E6" w14:textId="62F56902" w:rsidR="4118F725" w:rsidRDefault="00000000" w:rsidP="44FA134B">
      <w:pPr>
        <w:rPr>
          <w:rFonts w:ascii="Arial" w:eastAsia="Arial" w:hAnsi="Arial" w:cs="Arial"/>
        </w:rPr>
      </w:pPr>
      <w:r w:rsidRPr="62ACDA5A">
        <w:rPr>
          <w:rFonts w:ascii="Arial" w:eastAsia="Arial" w:hAnsi="Arial" w:cs="Arial"/>
        </w:rPr>
        <w:t xml:space="preserve">Para descargar el reporte, vaya a la sección Información general de la Portada de auditoría y seleccione el nombre del reporte, junto a Reporte preliminar de auditoría. Abra el reporte con un visualizador de PDF o un navegador. Los administradores del programa CAB, los revisores técnicos y los auditores deben tener acceso para ver y descargar el reporte final de auditoría.  </w:t>
      </w:r>
    </w:p>
    <w:p w14:paraId="36D5D62B" w14:textId="28F39B1D" w:rsidR="4118F725" w:rsidRDefault="4118F725" w:rsidP="44FA134B">
      <w:pPr>
        <w:rPr>
          <w:rFonts w:ascii="Arial" w:eastAsia="Arial" w:hAnsi="Arial" w:cs="Arial"/>
        </w:rPr>
      </w:pPr>
    </w:p>
    <w:p w14:paraId="3ACEB52F" w14:textId="6CC93C98" w:rsidR="4118F725" w:rsidRDefault="4118F725" w:rsidP="04B1E3EF">
      <w:pPr>
        <w:rPr>
          <w:rFonts w:ascii="Arial" w:eastAsia="Arial" w:hAnsi="Arial" w:cs="Arial"/>
        </w:rPr>
      </w:pPr>
    </w:p>
    <w:p w14:paraId="3D5E7855" w14:textId="370EE5ED" w:rsidR="4118F725" w:rsidRDefault="00000000" w:rsidP="04B1E3EF">
      <w:pPr>
        <w:rPr>
          <w:rFonts w:ascii="Arial" w:eastAsia="Arial" w:hAnsi="Arial" w:cs="Arial"/>
        </w:rPr>
      </w:pPr>
      <w:r>
        <w:rPr>
          <w:noProof/>
        </w:rPr>
        <w:drawing>
          <wp:inline distT="0" distB="0" distL="0" distR="0">
            <wp:extent cx="5982056" cy="1333500"/>
            <wp:effectExtent l="0" t="0" r="0" b="0"/>
            <wp:docPr id="6023315" name="Picture 6023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3315" name=""/>
                    <pic:cNvPicPr/>
                  </pic:nvPicPr>
                  <pic:blipFill>
                    <a:blip r:embed="rId11">
                      <a:extLst>
                        <a:ext uri="{28A0092B-C50C-407E-A947-70E740481C1C}">
                          <a14:useLocalDpi xmlns:a14="http://schemas.microsoft.com/office/drawing/2010/main" val="0"/>
                        </a:ext>
                      </a:extLst>
                    </a:blip>
                    <a:stretch>
                      <a:fillRect/>
                    </a:stretch>
                  </pic:blipFill>
                  <pic:spPr>
                    <a:xfrm>
                      <a:off x="0" y="0"/>
                      <a:ext cx="5982056" cy="1333500"/>
                    </a:xfrm>
                    <a:prstGeom prst="rect">
                      <a:avLst/>
                    </a:prstGeom>
                  </pic:spPr>
                </pic:pic>
              </a:graphicData>
            </a:graphic>
          </wp:inline>
        </w:drawing>
      </w:r>
    </w:p>
    <w:p w14:paraId="5CF3B4D0" w14:textId="2A474D32" w:rsidR="4118F725" w:rsidRDefault="4118F725" w:rsidP="04B1E3EF">
      <w:pPr>
        <w:rPr>
          <w:rFonts w:ascii="Arial" w:eastAsia="Arial" w:hAnsi="Arial" w:cs="Arial"/>
        </w:rPr>
      </w:pPr>
    </w:p>
    <w:p w14:paraId="3F0259D1" w14:textId="0CA68DC9" w:rsidR="4118F725" w:rsidRDefault="00000000" w:rsidP="62ACDA5A">
      <w:pPr>
        <w:rPr>
          <w:rFonts w:ascii="Arial" w:eastAsia="Arial" w:hAnsi="Arial" w:cs="Arial"/>
        </w:rPr>
      </w:pPr>
      <w:r w:rsidRPr="62ACDA5A">
        <w:rPr>
          <w:rFonts w:ascii="Arial" w:eastAsia="Arial" w:hAnsi="Arial" w:cs="Arial"/>
        </w:rPr>
        <w:t>El Reporte Final de Auditoría (y simultáneamente el acceso al formulario de Revisión y Cierre de NC) se comparte con el CH en un correo electrónico automatizado cuando la auditoría alcanza el estado “Reporte final enviado”. Los Titulares del Certificado también pueden acceder al reporte de auditoría preliminar y final desde la sección del submenú Certificados.</w:t>
      </w:r>
    </w:p>
    <w:p w14:paraId="57B5937F" w14:textId="6B68A6FD" w:rsidR="04B1E3EF" w:rsidRDefault="04B1E3EF" w:rsidP="04B1E3EF">
      <w:pPr>
        <w:rPr>
          <w:rFonts w:ascii="Arial" w:eastAsia="Arial" w:hAnsi="Arial" w:cs="Arial"/>
        </w:rPr>
      </w:pPr>
    </w:p>
    <w:p w14:paraId="622496D7" w14:textId="7E6C0586" w:rsidR="4118F725" w:rsidRDefault="00000000" w:rsidP="04B1E3EF">
      <w:pPr>
        <w:spacing w:line="259" w:lineRule="auto"/>
        <w:rPr>
          <w:rFonts w:ascii="Arial" w:eastAsia="Arial" w:hAnsi="Arial" w:cs="Arial"/>
        </w:rPr>
      </w:pPr>
      <w:r w:rsidRPr="44FA134B">
        <w:rPr>
          <w:rFonts w:ascii="Arial" w:eastAsia="Arial" w:hAnsi="Arial" w:cs="Arial"/>
        </w:rPr>
        <w:t xml:space="preserve">Los Reportes Finales de Auditoría incluyen datos en el Resumen del Módulo y el Resumen de Incumplimientos para indicar si se realizaron actualizaciones durante el proceso de revisión técnica. </w:t>
      </w:r>
    </w:p>
    <w:p w14:paraId="403A838D" w14:textId="3B34D36C" w:rsidR="4118F725" w:rsidRDefault="4118F725" w:rsidP="4118F725">
      <w:pPr>
        <w:spacing w:line="259" w:lineRule="auto"/>
        <w:rPr>
          <w:rFonts w:ascii="Arial" w:eastAsia="Arial" w:hAnsi="Arial" w:cs="Arial"/>
        </w:rPr>
      </w:pPr>
    </w:p>
    <w:p w14:paraId="68DEBF02" w14:textId="45D93731" w:rsidR="4118F725" w:rsidRDefault="00000000" w:rsidP="2DFF8D99">
      <w:pPr>
        <w:spacing w:line="259" w:lineRule="auto"/>
        <w:rPr>
          <w:rFonts w:ascii="Arial" w:eastAsia="Arial" w:hAnsi="Arial" w:cs="Arial"/>
        </w:rPr>
      </w:pPr>
      <w:r w:rsidRPr="03E961EA">
        <w:rPr>
          <w:rFonts w:ascii="Arial" w:eastAsia="Arial" w:hAnsi="Arial" w:cs="Arial"/>
        </w:rPr>
        <w:t xml:space="preserve">El Resumen del módulo incluye dos columnas adicionales que muestran el Número Final de Incumplimientos Críticos y de Progreso en comparación con el Número Preliminar de Incumplimientos Críticos. </w:t>
      </w:r>
    </w:p>
    <w:p w14:paraId="33AF46A3" w14:textId="73AB513D" w:rsidR="4118F725" w:rsidRDefault="00000000" w:rsidP="03E961EA">
      <w:pPr>
        <w:pStyle w:val="ListParagraph"/>
        <w:numPr>
          <w:ilvl w:val="0"/>
          <w:numId w:val="1"/>
        </w:numPr>
        <w:spacing w:line="259" w:lineRule="auto"/>
        <w:rPr>
          <w:rFonts w:ascii="Arial" w:eastAsia="Arial" w:hAnsi="Arial" w:cs="Arial"/>
        </w:rPr>
      </w:pPr>
      <w:r w:rsidRPr="03E961EA">
        <w:rPr>
          <w:rFonts w:ascii="Arial" w:eastAsia="Arial" w:hAnsi="Arial" w:cs="Arial"/>
        </w:rPr>
        <w:t>El Número Final de NC Críticos y de Progreso es el número actual de NC como se determinó durante la revisión técnica.</w:t>
      </w:r>
    </w:p>
    <w:p w14:paraId="4BAA8F50" w14:textId="4192488F" w:rsidR="4118F725" w:rsidRDefault="00000000" w:rsidP="03E961EA">
      <w:pPr>
        <w:pStyle w:val="ListParagraph"/>
        <w:numPr>
          <w:ilvl w:val="0"/>
          <w:numId w:val="1"/>
        </w:numPr>
        <w:spacing w:line="259" w:lineRule="auto"/>
        <w:rPr>
          <w:rFonts w:ascii="Arial" w:eastAsia="Arial" w:hAnsi="Arial" w:cs="Arial"/>
        </w:rPr>
      </w:pPr>
      <w:r w:rsidRPr="03E961EA">
        <w:rPr>
          <w:rFonts w:ascii="Arial" w:eastAsia="Arial" w:hAnsi="Arial" w:cs="Arial"/>
        </w:rPr>
        <w:lastRenderedPageBreak/>
        <w:t>El Número Preliminar de NC Críticos y de Progreso es el número original de NC emitidos por el auditor durante la auditoría.</w:t>
      </w:r>
    </w:p>
    <w:p w14:paraId="1F5E90E4" w14:textId="0ADE3D87" w:rsidR="04B1E3EF" w:rsidRDefault="04B1E3EF" w:rsidP="04B1E3EF">
      <w:pPr>
        <w:spacing w:line="259" w:lineRule="auto"/>
      </w:pPr>
    </w:p>
    <w:p w14:paraId="6495EF56" w14:textId="3548F56F" w:rsidR="4118F725" w:rsidRDefault="00000000" w:rsidP="4118F725">
      <w:pPr>
        <w:spacing w:line="259" w:lineRule="auto"/>
      </w:pPr>
      <w:r>
        <w:rPr>
          <w:noProof/>
        </w:rPr>
        <w:drawing>
          <wp:inline distT="0" distB="0" distL="0" distR="0">
            <wp:extent cx="5657850" cy="815724"/>
            <wp:effectExtent l="0" t="0" r="0" b="0"/>
            <wp:docPr id="649308136" name="Picture 649308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308136" name=""/>
                    <pic:cNvPicPr/>
                  </pic:nvPicPr>
                  <pic:blipFill>
                    <a:blip r:embed="rId12">
                      <a:extLst>
                        <a:ext uri="{28A0092B-C50C-407E-A947-70E740481C1C}">
                          <a14:useLocalDpi xmlns:a14="http://schemas.microsoft.com/office/drawing/2010/main" val="0"/>
                        </a:ext>
                      </a:extLst>
                    </a:blip>
                    <a:srcRect t="24778"/>
                    <a:stretch>
                      <a:fillRect/>
                    </a:stretch>
                  </pic:blipFill>
                  <pic:spPr>
                    <a:xfrm>
                      <a:off x="0" y="0"/>
                      <a:ext cx="5657850" cy="815724"/>
                    </a:xfrm>
                    <a:prstGeom prst="rect">
                      <a:avLst/>
                    </a:prstGeom>
                  </pic:spPr>
                </pic:pic>
              </a:graphicData>
            </a:graphic>
          </wp:inline>
        </w:drawing>
      </w:r>
    </w:p>
    <w:p w14:paraId="039FA759" w14:textId="3D0F87BC" w:rsidR="4118F725" w:rsidRDefault="4118F725" w:rsidP="4118F725">
      <w:pPr>
        <w:spacing w:line="259" w:lineRule="auto"/>
        <w:rPr>
          <w:rFonts w:ascii="Arial" w:eastAsia="Arial" w:hAnsi="Arial" w:cs="Arial"/>
        </w:rPr>
      </w:pPr>
    </w:p>
    <w:p w14:paraId="6AC82AEB" w14:textId="3388E771" w:rsidR="4118F725" w:rsidRDefault="00000000" w:rsidP="4118F725">
      <w:pPr>
        <w:spacing w:line="259" w:lineRule="auto"/>
        <w:rPr>
          <w:rFonts w:ascii="Arial" w:eastAsia="Arial" w:hAnsi="Arial" w:cs="Arial"/>
        </w:rPr>
      </w:pPr>
      <w:r w:rsidRPr="76B7B343">
        <w:rPr>
          <w:rFonts w:ascii="Arial" w:eastAsia="Arial" w:hAnsi="Arial" w:cs="Arial"/>
        </w:rPr>
        <w:t xml:space="preserve">Para obtener una visión más detallada de qué NC cambiaron durante la revisión técnica, el Resumen de incumplimientos incluye el Estado Preliminar y Final de cada hallazgo. Si no hay cambios durante la revisión técnica, el estado será el mismo tanto para el Estado Preliminar del Hallazgo como para el Estado Final del Hallazgo. Si hay una diferencia entre estos dos campos, el Estado Final del Hallazgo es el estado actual determinado durante la revisión técnica, mientras que el Estado Preliminar es el hallazgo original del auditor que fue revisado durante la reunión de cierre. Si el Estado Preliminar del Hallazgo está vacío, el NC se agregó durante la revisión técnica. </w:t>
      </w:r>
    </w:p>
    <w:p w14:paraId="44B5157F" w14:textId="20F73DBF" w:rsidR="4118F725" w:rsidRDefault="4118F725" w:rsidP="4118F725">
      <w:pPr>
        <w:spacing w:line="259" w:lineRule="auto"/>
        <w:rPr>
          <w:rFonts w:ascii="Arial" w:eastAsia="Arial" w:hAnsi="Arial" w:cs="Arial"/>
        </w:rPr>
      </w:pPr>
    </w:p>
    <w:p w14:paraId="0CBB7C87" w14:textId="156A8ACD" w:rsidR="4118F725" w:rsidRDefault="00000000" w:rsidP="4118F725">
      <w:pPr>
        <w:spacing w:line="259" w:lineRule="auto"/>
      </w:pPr>
      <w:r>
        <w:rPr>
          <w:noProof/>
        </w:rPr>
        <w:drawing>
          <wp:inline distT="0" distB="0" distL="0" distR="0">
            <wp:extent cx="5994400" cy="561975"/>
            <wp:effectExtent l="0" t="0" r="0" b="0"/>
            <wp:docPr id="418548978" name="Picture 418548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548978" name=""/>
                    <pic:cNvPicPr/>
                  </pic:nvPicPr>
                  <pic:blipFill>
                    <a:blip r:embed="rId13">
                      <a:extLst>
                        <a:ext uri="{28A0092B-C50C-407E-A947-70E740481C1C}">
                          <a14:useLocalDpi xmlns:a14="http://schemas.microsoft.com/office/drawing/2010/main" val="0"/>
                        </a:ext>
                      </a:extLst>
                    </a:blip>
                    <a:stretch>
                      <a:fillRect/>
                    </a:stretch>
                  </pic:blipFill>
                  <pic:spPr>
                    <a:xfrm>
                      <a:off x="0" y="0"/>
                      <a:ext cx="5994400" cy="561975"/>
                    </a:xfrm>
                    <a:prstGeom prst="rect">
                      <a:avLst/>
                    </a:prstGeom>
                  </pic:spPr>
                </pic:pic>
              </a:graphicData>
            </a:graphic>
          </wp:inline>
        </w:drawing>
      </w:r>
    </w:p>
    <w:p w14:paraId="5AE672CD" w14:textId="57F422C2" w:rsidR="0958F821" w:rsidRDefault="0958F821" w:rsidP="0958F821">
      <w:pPr>
        <w:spacing w:line="259" w:lineRule="auto"/>
        <w:rPr>
          <w:rFonts w:ascii="Arial" w:eastAsia="Arial" w:hAnsi="Arial" w:cs="Arial"/>
          <w:b/>
          <w:bCs/>
          <w:color w:val="1F4E79" w:themeColor="accent5" w:themeShade="80"/>
          <w:sz w:val="28"/>
          <w:szCs w:val="28"/>
        </w:rPr>
      </w:pPr>
    </w:p>
    <w:p w14:paraId="21577710" w14:textId="379474D6" w:rsidR="4118F725" w:rsidRDefault="00000000" w:rsidP="31AB1CC9">
      <w:pPr>
        <w:spacing w:line="259" w:lineRule="auto"/>
        <w:rPr>
          <w:rFonts w:ascii="Arial" w:eastAsia="Arial" w:hAnsi="Arial" w:cs="Arial"/>
          <w:b/>
          <w:bCs/>
          <w:color w:val="1F4E79" w:themeColor="accent5" w:themeShade="80"/>
          <w:sz w:val="32"/>
          <w:szCs w:val="32"/>
        </w:rPr>
      </w:pPr>
      <w:r w:rsidRPr="4391FD1C">
        <w:rPr>
          <w:rFonts w:ascii="Arial" w:eastAsia="Arial" w:hAnsi="Arial" w:cs="Arial"/>
          <w:b/>
          <w:bCs/>
          <w:color w:val="1F4E79" w:themeColor="accent5" w:themeShade="80"/>
          <w:sz w:val="28"/>
          <w:szCs w:val="28"/>
        </w:rPr>
        <w:t>Reportes de auditoría: Resumen de los puntos de progreso*</w:t>
      </w:r>
    </w:p>
    <w:p w14:paraId="35577464" w14:textId="6397D968" w:rsidR="31AB1CC9" w:rsidRDefault="00000000" w:rsidP="4391FD1C">
      <w:pPr>
        <w:rPr>
          <w:rFonts w:ascii="Arial" w:hAnsi="Arial" w:cs="Arial"/>
        </w:rPr>
      </w:pPr>
      <w:r w:rsidRPr="03E961EA">
        <w:rPr>
          <w:rFonts w:ascii="Arial" w:hAnsi="Arial" w:cs="Arial"/>
        </w:rPr>
        <w:t>*Solo APS y CFS</w:t>
      </w:r>
    </w:p>
    <w:p w14:paraId="1F543632" w14:textId="0D5A9D33" w:rsidR="4391FD1C" w:rsidRDefault="4391FD1C" w:rsidP="4391FD1C">
      <w:pPr>
        <w:rPr>
          <w:rFonts w:ascii="Arial" w:hAnsi="Arial" w:cs="Arial"/>
        </w:rPr>
      </w:pPr>
    </w:p>
    <w:p w14:paraId="2B491D16" w14:textId="6B6CEEB8" w:rsidR="4391FD1C" w:rsidRDefault="00000000" w:rsidP="4391FD1C">
      <w:pPr>
        <w:rPr>
          <w:rFonts w:ascii="Arial" w:hAnsi="Arial" w:cs="Arial"/>
        </w:rPr>
      </w:pPr>
      <w:r w:rsidRPr="2DFF8D99">
        <w:rPr>
          <w:rFonts w:ascii="Arial" w:hAnsi="Arial" w:cs="Arial"/>
        </w:rPr>
        <w:t xml:space="preserve">Para las auditorías de APS y CFS, se incluye una tabla Resumen de puntos de progreso en el reporte preliminar y final de auditoría. La tabla, organizada por módulo y tamaño de granja, incluye: </w:t>
      </w:r>
    </w:p>
    <w:p w14:paraId="3C075D2C" w14:textId="1A7D7F94" w:rsidR="4391FD1C" w:rsidRDefault="00000000" w:rsidP="4391FD1C">
      <w:pPr>
        <w:pStyle w:val="ListParagraph"/>
        <w:numPr>
          <w:ilvl w:val="0"/>
          <w:numId w:val="2"/>
        </w:numPr>
        <w:rPr>
          <w:rFonts w:ascii="Arial" w:hAnsi="Arial" w:cs="Arial"/>
        </w:rPr>
      </w:pPr>
      <w:r w:rsidRPr="03E961EA">
        <w:rPr>
          <w:rFonts w:ascii="Arial" w:hAnsi="Arial" w:cs="Arial"/>
        </w:rPr>
        <w:t>el número de puntos de progreso requeridos para que el CH cumpla con los requisitos del programa</w:t>
      </w:r>
    </w:p>
    <w:p w14:paraId="1DE1F3E2" w14:textId="2C86B4D9" w:rsidR="4391FD1C" w:rsidRDefault="00000000" w:rsidP="4391FD1C">
      <w:pPr>
        <w:pStyle w:val="ListParagraph"/>
        <w:numPr>
          <w:ilvl w:val="0"/>
          <w:numId w:val="2"/>
        </w:numPr>
        <w:rPr>
          <w:rFonts w:ascii="Arial" w:hAnsi="Arial" w:cs="Arial"/>
        </w:rPr>
      </w:pPr>
      <w:r w:rsidRPr="03E961EA">
        <w:rPr>
          <w:rFonts w:ascii="Arial" w:hAnsi="Arial" w:cs="Arial"/>
        </w:rPr>
        <w:t>el número de puntos de progreso alcanzados durante la auditoría</w:t>
      </w:r>
    </w:p>
    <w:p w14:paraId="76179705" w14:textId="5DBC4320" w:rsidR="4391FD1C" w:rsidRDefault="00000000" w:rsidP="4391FD1C">
      <w:pPr>
        <w:pStyle w:val="ListParagraph"/>
        <w:numPr>
          <w:ilvl w:val="0"/>
          <w:numId w:val="2"/>
        </w:numPr>
        <w:rPr>
          <w:rFonts w:ascii="Arial" w:hAnsi="Arial" w:cs="Arial"/>
        </w:rPr>
      </w:pPr>
      <w:r w:rsidRPr="03E961EA">
        <w:rPr>
          <w:rFonts w:ascii="Arial" w:hAnsi="Arial" w:cs="Arial"/>
        </w:rPr>
        <w:t>el porcentaje de puntos necesarios para cumplir con la norma</w:t>
      </w:r>
    </w:p>
    <w:p w14:paraId="39E88FF3" w14:textId="5DDD94E7" w:rsidR="4391FD1C" w:rsidRDefault="00000000" w:rsidP="4391FD1C">
      <w:pPr>
        <w:pStyle w:val="ListParagraph"/>
        <w:numPr>
          <w:ilvl w:val="0"/>
          <w:numId w:val="2"/>
        </w:numPr>
        <w:rPr>
          <w:rFonts w:ascii="Arial" w:hAnsi="Arial" w:cs="Arial"/>
        </w:rPr>
      </w:pPr>
      <w:r w:rsidRPr="03E961EA">
        <w:rPr>
          <w:rFonts w:ascii="Arial" w:hAnsi="Arial" w:cs="Arial"/>
        </w:rPr>
        <w:t>una indicación de si se cumplieron o no los requisitos del programa</w:t>
      </w:r>
    </w:p>
    <w:p w14:paraId="009697F4" w14:textId="7C9EEAE8" w:rsidR="4391FD1C" w:rsidRDefault="4391FD1C" w:rsidP="4391FD1C">
      <w:pPr>
        <w:rPr>
          <w:rFonts w:ascii="Arial" w:hAnsi="Arial" w:cs="Arial"/>
        </w:rPr>
      </w:pPr>
    </w:p>
    <w:p w14:paraId="323D42C7" w14:textId="1ABD7718" w:rsidR="4391FD1C" w:rsidRDefault="00000000" w:rsidP="4391FD1C">
      <w:pPr>
        <w:rPr>
          <w:rFonts w:ascii="Arial" w:hAnsi="Arial" w:cs="Arial"/>
        </w:rPr>
      </w:pPr>
      <w:r w:rsidRPr="6C80AD8D">
        <w:rPr>
          <w:rFonts w:ascii="Arial" w:hAnsi="Arial" w:cs="Arial"/>
        </w:rPr>
        <w:t>En el ejemplo a continuación, solo los tamaños de granja auditados tienen resultados incluidos en la tabla Resumen de Puntos de Progreso. Los sitios del Titular del Certificado se clasifican como medianos, por lo tanto, no se incluye información para granjas pequeñas o grandes.</w:t>
      </w:r>
    </w:p>
    <w:p w14:paraId="0232BED3" w14:textId="0F4C4276" w:rsidR="4391FD1C" w:rsidRDefault="00000000" w:rsidP="4391FD1C">
      <w:pPr>
        <w:rPr>
          <w:rFonts w:ascii="Arial" w:hAnsi="Arial" w:cs="Arial"/>
        </w:rPr>
      </w:pPr>
      <w:r>
        <w:rPr>
          <w:noProof/>
        </w:rPr>
        <w:lastRenderedPageBreak/>
        <w:drawing>
          <wp:inline distT="0" distB="0" distL="0" distR="0">
            <wp:extent cx="5700346" cy="2819417"/>
            <wp:effectExtent l="0" t="0" r="0" b="0"/>
            <wp:docPr id="1543245816" name="Picture 1543245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245816" name=""/>
                    <pic:cNvPicPr/>
                  </pic:nvPicPr>
                  <pic:blipFill>
                    <a:blip r:embed="rId14">
                      <a:extLst>
                        <a:ext uri="{28A0092B-C50C-407E-A947-70E740481C1C}">
                          <a14:useLocalDpi xmlns:a14="http://schemas.microsoft.com/office/drawing/2010/main" val="0"/>
                        </a:ext>
                      </a:extLst>
                    </a:blip>
                    <a:srcRect t="23907"/>
                    <a:stretch>
                      <a:fillRect/>
                    </a:stretch>
                  </pic:blipFill>
                  <pic:spPr>
                    <a:xfrm>
                      <a:off x="0" y="0"/>
                      <a:ext cx="5700346" cy="2819417"/>
                    </a:xfrm>
                    <a:prstGeom prst="rect">
                      <a:avLst/>
                    </a:prstGeom>
                  </pic:spPr>
                </pic:pic>
              </a:graphicData>
            </a:graphic>
          </wp:inline>
        </w:drawing>
      </w:r>
    </w:p>
    <w:p w14:paraId="6603E990" w14:textId="04824989" w:rsidR="31AB1CC9" w:rsidRDefault="31AB1CC9" w:rsidP="31AB1CC9">
      <w:pPr>
        <w:rPr>
          <w:rFonts w:ascii="Arial" w:hAnsi="Arial" w:cs="Arial"/>
        </w:rPr>
      </w:pPr>
    </w:p>
    <w:p w14:paraId="52D28F78" w14:textId="6AEC646B" w:rsidR="31AB1CC9" w:rsidRDefault="00000000" w:rsidP="4391FD1C">
      <w:pPr>
        <w:rPr>
          <w:rFonts w:ascii="Arial" w:hAnsi="Arial" w:cs="Arial"/>
        </w:rPr>
      </w:pPr>
      <w:r w:rsidRPr="44FA134B">
        <w:rPr>
          <w:rFonts w:ascii="Arial" w:hAnsi="Arial" w:cs="Arial"/>
        </w:rPr>
        <w:t xml:space="preserve">Si no se cumplen los requisitos del programa para ninguno de los módulos, los NC deben abordarse como parte del proceso de Revisión y Cierre de NC para cumplir con la cantidad de puntos de progreso requeridos. Para obtener más información sobre cómo se calculan los puntos de progreso, consulte el estándar del programa y la </w:t>
      </w:r>
      <w:hyperlink r:id="rId15" w:history="1">
        <w:r w:rsidR="31AB1CC9" w:rsidRPr="44FA134B">
          <w:rPr>
            <w:rStyle w:val="Hyperlink"/>
            <w:rFonts w:ascii="Arial" w:hAnsi="Arial" w:cs="Arial"/>
          </w:rPr>
          <w:t>Guía del sistema de puntuación</w:t>
        </w:r>
      </w:hyperlink>
      <w:r w:rsidRPr="44FA134B">
        <w:rPr>
          <w:rFonts w:ascii="Arial" w:hAnsi="Arial" w:cs="Arial"/>
        </w:rPr>
        <w:t xml:space="preserve"> en la </w:t>
      </w:r>
      <w:hyperlink r:id="rId16" w:history="1">
        <w:r w:rsidR="31AB1CC9" w:rsidRPr="44FA134B">
          <w:rPr>
            <w:rStyle w:val="Hyperlink"/>
            <w:rFonts w:ascii="Arial" w:hAnsi="Arial" w:cs="Arial"/>
          </w:rPr>
          <w:t>sección Recursos</w:t>
        </w:r>
      </w:hyperlink>
      <w:r w:rsidRPr="44FA134B">
        <w:rPr>
          <w:rFonts w:ascii="Arial" w:hAnsi="Arial" w:cs="Arial"/>
        </w:rPr>
        <w:t>.</w:t>
      </w:r>
    </w:p>
    <w:p w14:paraId="6E1AFC10" w14:textId="4293099B" w:rsidR="31AB1CC9" w:rsidRDefault="31AB1CC9" w:rsidP="31AB1CC9">
      <w:pPr>
        <w:rPr>
          <w:rFonts w:ascii="Arial" w:hAnsi="Arial" w:cs="Arial"/>
        </w:rPr>
      </w:pPr>
    </w:p>
    <w:p w14:paraId="6F469A99" w14:textId="27FCC7F7" w:rsidR="6C80AD8D" w:rsidRDefault="6C80AD8D" w:rsidP="6C80AD8D">
      <w:pPr>
        <w:rPr>
          <w:rFonts w:ascii="Arial" w:hAnsi="Arial" w:cs="Arial"/>
        </w:rPr>
      </w:pPr>
    </w:p>
    <w:p w14:paraId="10FD4082" w14:textId="411ED2F2" w:rsidR="6C80AD8D" w:rsidRDefault="6C80AD8D" w:rsidP="6C80AD8D">
      <w:pPr>
        <w:rPr>
          <w:rFonts w:ascii="Arial" w:hAnsi="Arial" w:cs="Arial"/>
        </w:rPr>
      </w:pPr>
    </w:p>
    <w:p w14:paraId="528F5AFC" w14:textId="136E7694" w:rsidR="6C80AD8D" w:rsidRDefault="6C80AD8D" w:rsidP="6C80AD8D">
      <w:pPr>
        <w:rPr>
          <w:rFonts w:ascii="Arial" w:hAnsi="Arial" w:cs="Arial"/>
        </w:rPr>
      </w:pPr>
    </w:p>
    <w:p w14:paraId="29A85B8E" w14:textId="3C26EBAD" w:rsidR="6C80AD8D" w:rsidRDefault="6C80AD8D" w:rsidP="6C80AD8D">
      <w:pPr>
        <w:rPr>
          <w:rFonts w:ascii="Arial" w:hAnsi="Arial" w:cs="Arial"/>
        </w:rPr>
      </w:pPr>
    </w:p>
    <w:p w14:paraId="247838A3" w14:textId="7F3CBB9A" w:rsidR="4118F725" w:rsidRDefault="4118F725" w:rsidP="0958F821">
      <w:pPr>
        <w:rPr>
          <w:rFonts w:ascii="Arial" w:hAnsi="Arial" w:cs="Arial"/>
          <w:b/>
          <w:bCs/>
          <w:color w:val="1F4E79" w:themeColor="accent5" w:themeShade="80"/>
        </w:rPr>
      </w:pPr>
    </w:p>
    <w:p w14:paraId="6ED60D71" w14:textId="124C41E3" w:rsidR="00E135B3" w:rsidRDefault="00000000" w:rsidP="1465564E">
      <w:pPr>
        <w:spacing w:line="259" w:lineRule="auto"/>
      </w:pPr>
      <w:r w:rsidRPr="03E961EA">
        <w:rPr>
          <w:rFonts w:ascii="Arial" w:hAnsi="Arial" w:cs="Arial"/>
          <w:b/>
          <w:bCs/>
          <w:color w:val="1F4E79" w:themeColor="accent5" w:themeShade="80"/>
          <w:sz w:val="28"/>
          <w:szCs w:val="28"/>
        </w:rPr>
        <w:t>Recursos adicionales</w:t>
      </w:r>
    </w:p>
    <w:p w14:paraId="7576E36E" w14:textId="426F5FBB" w:rsidR="0958F821" w:rsidRPr="00A3160C" w:rsidRDefault="0958F821" w:rsidP="03E961EA">
      <w:pPr>
        <w:pStyle w:val="Heading3"/>
        <w:shd w:val="clear" w:color="auto" w:fill="FFFFFF" w:themeFill="background1"/>
        <w:spacing w:before="120" w:after="120"/>
        <w:rPr>
          <w:rFonts w:ascii="Arial" w:eastAsia="Arial" w:hAnsi="Arial" w:cs="Arial"/>
          <w:color w:val="auto"/>
        </w:rPr>
      </w:pPr>
      <w:hyperlink r:id="rId17" w:history="1">
        <w:r w:rsidRPr="00A3160C">
          <w:rPr>
            <w:rStyle w:val="Hyperlink"/>
            <w:rFonts w:ascii="Arial" w:eastAsia="Source Serif Pro" w:hAnsi="Arial" w:cs="Arial"/>
            <w:color w:val="auto"/>
            <w:u w:val="none"/>
          </w:rPr>
          <w:t>Estándar de producción agrícola</w:t>
        </w:r>
      </w:hyperlink>
    </w:p>
    <w:p w14:paraId="62F263E6" w14:textId="24D66B85" w:rsidR="708D4A79" w:rsidRPr="00A3160C" w:rsidRDefault="708D4A79" w:rsidP="00A3160C">
      <w:pPr>
        <w:pStyle w:val="Heading3"/>
        <w:shd w:val="clear" w:color="auto" w:fill="FFFFFF" w:themeFill="background1"/>
        <w:spacing w:before="120" w:after="120"/>
        <w:rPr>
          <w:rStyle w:val="Hyperlink"/>
          <w:rFonts w:ascii="Arial" w:hAnsi="Arial" w:cs="Arial"/>
          <w:color w:val="auto"/>
          <w:u w:val="none"/>
        </w:rPr>
      </w:pPr>
      <w:hyperlink r:id="rId18" w:history="1">
        <w:r w:rsidRPr="00A3160C">
          <w:rPr>
            <w:rStyle w:val="Hyperlink"/>
            <w:rFonts w:ascii="Arial" w:eastAsia="Source Serif Pro" w:hAnsi="Arial" w:cs="Arial"/>
            <w:color w:val="auto"/>
            <w:u w:val="none"/>
          </w:rPr>
          <w:t>Manual del organismo de evaluación de la conformidad en agricultura y productos del mar</w:t>
        </w:r>
      </w:hyperlink>
    </w:p>
    <w:p w14:paraId="7379F19E" w14:textId="58346FDC" w:rsidR="0958F821" w:rsidRPr="00A3160C" w:rsidRDefault="0958F821" w:rsidP="03E961EA">
      <w:pPr>
        <w:pStyle w:val="Heading3"/>
        <w:spacing w:line="259" w:lineRule="auto"/>
        <w:rPr>
          <w:rFonts w:ascii="Arial" w:eastAsia="Arial" w:hAnsi="Arial" w:cs="Arial"/>
          <w:color w:val="auto"/>
        </w:rPr>
      </w:pPr>
      <w:hyperlink r:id="rId19" w:history="1">
        <w:hyperlink r:id="rId20" w:history="1">
          <w:r w:rsidRPr="00A3160C">
            <w:rPr>
              <w:rStyle w:val="Hyperlink"/>
              <w:rFonts w:ascii="Arial" w:eastAsia="Arial" w:hAnsi="Arial" w:cs="Arial"/>
              <w:color w:val="auto"/>
              <w:u w:val="none"/>
            </w:rPr>
            <w:t>Manual de garantía del programa de agricultura y productos del mar</w:t>
          </w:r>
        </w:hyperlink>
      </w:hyperlink>
    </w:p>
    <w:p w14:paraId="7F14300B" w14:textId="3A7405E0" w:rsidR="0958F821" w:rsidRPr="00A3160C" w:rsidRDefault="0958F821" w:rsidP="708D4A79">
      <w:pPr>
        <w:pStyle w:val="Heading3"/>
        <w:shd w:val="clear" w:color="auto" w:fill="FFFFFF" w:themeFill="background1"/>
        <w:spacing w:before="120" w:after="120"/>
        <w:rPr>
          <w:rStyle w:val="Hyperlink"/>
          <w:rFonts w:ascii="Arial" w:eastAsia="Arial" w:hAnsi="Arial" w:cs="Arial"/>
          <w:color w:val="auto"/>
          <w:u w:val="none"/>
        </w:rPr>
      </w:pPr>
      <w:hyperlink r:id="rId21" w:history="1">
        <w:r w:rsidRPr="00A3160C">
          <w:rPr>
            <w:rStyle w:val="Hyperlink"/>
            <w:rFonts w:ascii="Arial" w:eastAsia="Source Serif Pro" w:hAnsi="Arial" w:cs="Arial"/>
            <w:color w:val="auto"/>
            <w:u w:val="none"/>
          </w:rPr>
          <w:t>Estándar de producción de fábrica (FPS) 2.0.1</w:t>
        </w:r>
      </w:hyperlink>
    </w:p>
    <w:p w14:paraId="4D6ABE4B" w14:textId="7C7211C3" w:rsidR="708D4A79" w:rsidRPr="00A3160C" w:rsidRDefault="708D4A79" w:rsidP="00A3160C">
      <w:pPr>
        <w:pStyle w:val="Heading3"/>
        <w:shd w:val="clear" w:color="auto" w:fill="FFFFFF" w:themeFill="background1"/>
        <w:spacing w:before="120" w:after="120"/>
        <w:rPr>
          <w:rStyle w:val="Hyperlink"/>
          <w:rFonts w:ascii="Arial" w:hAnsi="Arial" w:cs="Arial"/>
          <w:color w:val="auto"/>
          <w:u w:val="none"/>
        </w:rPr>
      </w:pPr>
      <w:hyperlink r:id="rId22" w:history="1">
        <w:r w:rsidRPr="00A3160C">
          <w:rPr>
            <w:rStyle w:val="Hyperlink"/>
            <w:rFonts w:ascii="Arial" w:eastAsia="Source Serif Pro" w:hAnsi="Arial" w:cs="Arial"/>
            <w:color w:val="auto"/>
            <w:u w:val="none"/>
          </w:rPr>
          <w:t>Manual del organismo de evaluación de la conformidad de la fábrica</w:t>
        </w:r>
      </w:hyperlink>
    </w:p>
    <w:p w14:paraId="1BC4AA5C" w14:textId="70DEFF47" w:rsidR="00E135B3" w:rsidRPr="00A3160C" w:rsidRDefault="00E135B3" w:rsidP="31AB1CC9">
      <w:pPr>
        <w:pStyle w:val="Heading3"/>
        <w:rPr>
          <w:rFonts w:ascii="Arial" w:eastAsia="Arial" w:hAnsi="Arial" w:cs="Arial"/>
          <w:color w:val="auto"/>
        </w:rPr>
      </w:pPr>
      <w:hyperlink r:id="rId23" w:history="1">
        <w:r w:rsidRPr="00A3160C">
          <w:rPr>
            <w:rStyle w:val="Hyperlink"/>
            <w:rFonts w:ascii="Arial" w:eastAsia="Arial" w:hAnsi="Arial" w:cs="Arial"/>
            <w:color w:val="auto"/>
            <w:u w:val="none"/>
          </w:rPr>
          <w:t>Manual de aseguramiento del programa de fábrica</w:t>
        </w:r>
      </w:hyperlink>
    </w:p>
    <w:p w14:paraId="41828025" w14:textId="4D1E5AF8" w:rsidR="31AB1CC9" w:rsidRPr="00A3160C" w:rsidRDefault="31AB1CC9" w:rsidP="31AB1CC9">
      <w:pPr>
        <w:spacing w:line="259" w:lineRule="auto"/>
        <w:rPr>
          <w:rFonts w:ascii="Arial" w:eastAsia="Arial" w:hAnsi="Arial" w:cs="Arial"/>
        </w:rPr>
      </w:pPr>
      <w:hyperlink r:id="rId24" w:history="1">
        <w:r w:rsidRPr="00A3160C">
          <w:rPr>
            <w:rStyle w:val="Hyperlink"/>
            <w:rFonts w:ascii="Arial" w:eastAsia="Arial" w:hAnsi="Arial" w:cs="Arial"/>
            <w:color w:val="auto"/>
            <w:u w:val="none"/>
          </w:rPr>
          <w:t>Guía del sistema de puntuación</w:t>
        </w:r>
      </w:hyperlink>
    </w:p>
    <w:p w14:paraId="13BB6599" w14:textId="50DB410D" w:rsidR="00B70FF5" w:rsidRPr="00694C2B" w:rsidRDefault="00B70FF5" w:rsidP="7267706F">
      <w:pPr>
        <w:rPr>
          <w:rFonts w:ascii="Arial" w:hAnsi="Arial" w:cs="Arial"/>
        </w:rPr>
      </w:pPr>
    </w:p>
    <w:sectPr w:rsidR="00B70FF5" w:rsidRPr="00694C2B" w:rsidSect="00FE468A">
      <w:headerReference w:type="default" r:id="rId25"/>
      <w:footerReference w:type="even" r:id="rId26"/>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D6C38" w14:textId="77777777" w:rsidR="006632E1" w:rsidRDefault="006632E1">
      <w:r>
        <w:separator/>
      </w:r>
    </w:p>
  </w:endnote>
  <w:endnote w:type="continuationSeparator" w:id="0">
    <w:p w14:paraId="12D9944F" w14:textId="77777777" w:rsidR="006632E1" w:rsidRDefault="00663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ource Serif Pro">
    <w:panose1 w:val="02040603050405020204"/>
    <w:charset w:val="00"/>
    <w:family w:val="roman"/>
    <w:pitch w:val="variable"/>
    <w:sig w:usb0="20000287" w:usb1="02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94555344"/>
      <w:docPartObj>
        <w:docPartGallery w:val="Page Numbers (Bottom of Page)"/>
        <w:docPartUnique/>
      </w:docPartObj>
    </w:sdtPr>
    <w:sdtContent>
      <w:p w14:paraId="18F40B56" w14:textId="3814A9C9" w:rsidR="00AC0D5A" w:rsidRDefault="00000000" w:rsidP="00C61C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167244213"/>
      <w:docPartObj>
        <w:docPartGallery w:val="Page Numbers (Bottom of Page)"/>
        <w:docPartUnique/>
      </w:docPartObj>
    </w:sdtPr>
    <w:sdtContent>
      <w:p w14:paraId="3C4F78FE" w14:textId="15ABCDDA" w:rsidR="006B1C86" w:rsidRDefault="00000000" w:rsidP="00AC0D5A">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3C1A18C" w14:textId="77777777" w:rsidR="002213AD" w:rsidRDefault="002213AD" w:rsidP="006B1C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color w:val="7F7F7F" w:themeColor="text1" w:themeTint="80"/>
      </w:rPr>
      <w:id w:val="-773316345"/>
      <w:docPartObj>
        <w:docPartGallery w:val="Page Numbers (Bottom of Page)"/>
        <w:docPartUnique/>
      </w:docPartObj>
    </w:sdtPr>
    <w:sdtContent>
      <w:p w14:paraId="071D6232" w14:textId="4049C4BA" w:rsidR="00AC0D5A" w:rsidRPr="00AC0D5A" w:rsidRDefault="00000000" w:rsidP="00C61C0E">
        <w:pPr>
          <w:pStyle w:val="Footer"/>
          <w:framePr w:wrap="none" w:vAnchor="text" w:hAnchor="margin" w:xAlign="right" w:y="1"/>
          <w:rPr>
            <w:rStyle w:val="PageNumber"/>
            <w:rFonts w:ascii="Arial" w:hAnsi="Arial" w:cs="Arial"/>
            <w:color w:val="7F7F7F" w:themeColor="text1" w:themeTint="80"/>
          </w:rPr>
        </w:pPr>
        <w:r w:rsidRPr="00AC0D5A">
          <w:rPr>
            <w:rStyle w:val="PageNumber"/>
            <w:rFonts w:ascii="Arial" w:hAnsi="Arial" w:cs="Arial"/>
            <w:color w:val="7F7F7F" w:themeColor="text1" w:themeTint="80"/>
          </w:rPr>
          <w:t xml:space="preserve">Página </w:t>
        </w:r>
        <w:r w:rsidRPr="00AC0D5A">
          <w:rPr>
            <w:rStyle w:val="PageNumber"/>
            <w:rFonts w:ascii="Arial" w:hAnsi="Arial" w:cs="Arial"/>
            <w:color w:val="7F7F7F" w:themeColor="text1" w:themeTint="80"/>
          </w:rPr>
          <w:fldChar w:fldCharType="begin"/>
        </w:r>
        <w:r w:rsidRPr="00AC0D5A">
          <w:rPr>
            <w:rStyle w:val="PageNumber"/>
            <w:rFonts w:ascii="Arial" w:hAnsi="Arial" w:cs="Arial"/>
            <w:color w:val="7F7F7F" w:themeColor="text1" w:themeTint="80"/>
          </w:rPr>
          <w:instrText xml:space="preserve"> PAGE </w:instrText>
        </w:r>
        <w:r w:rsidRPr="00AC0D5A">
          <w:rPr>
            <w:rStyle w:val="PageNumber"/>
            <w:rFonts w:ascii="Arial" w:hAnsi="Arial" w:cs="Arial"/>
            <w:color w:val="7F7F7F" w:themeColor="text1" w:themeTint="80"/>
          </w:rPr>
          <w:fldChar w:fldCharType="separate"/>
        </w:r>
        <w:r w:rsidRPr="00AC0D5A">
          <w:rPr>
            <w:rStyle w:val="PageNumber"/>
            <w:rFonts w:ascii="Arial" w:hAnsi="Arial" w:cs="Arial"/>
            <w:color w:val="7F7F7F" w:themeColor="text1" w:themeTint="80"/>
          </w:rPr>
          <w:t>6</w:t>
        </w:r>
        <w:r w:rsidRPr="00AC0D5A">
          <w:rPr>
            <w:rStyle w:val="PageNumber"/>
            <w:rFonts w:ascii="Arial" w:hAnsi="Arial" w:cs="Arial"/>
            <w:color w:val="7F7F7F" w:themeColor="text1" w:themeTint="80"/>
          </w:rPr>
          <w:fldChar w:fldCharType="end"/>
        </w:r>
      </w:p>
    </w:sdtContent>
  </w:sdt>
  <w:p w14:paraId="2FF3C70A" w14:textId="60A85770" w:rsidR="002213AD" w:rsidRPr="00AC0D5A" w:rsidRDefault="00000000" w:rsidP="00066FAC">
    <w:pPr>
      <w:pStyle w:val="Footer"/>
      <w:spacing w:line="259" w:lineRule="auto"/>
      <w:ind w:right="360"/>
      <w:rPr>
        <w:rFonts w:ascii="Arial" w:hAnsi="Arial" w:cs="Arial"/>
        <w:noProof/>
        <w:color w:val="7F7F7F" w:themeColor="text1" w:themeTint="80"/>
      </w:rPr>
    </w:pPr>
    <w:r w:rsidRPr="44FA134B">
      <w:rPr>
        <w:rFonts w:ascii="Arial" w:hAnsi="Arial" w:cs="Arial"/>
        <w:color w:val="7F7F7F" w:themeColor="text1" w:themeTint="80"/>
      </w:rPr>
      <w:fldChar w:fldCharType="begin"/>
    </w:r>
    <w:r w:rsidRPr="44FA134B">
      <w:rPr>
        <w:rFonts w:ascii="Arial" w:hAnsi="Arial" w:cs="Arial"/>
        <w:color w:val="7F7F7F" w:themeColor="text1" w:themeTint="80"/>
      </w:rPr>
      <w:instrText xml:space="preserve"> DATE \@ "d MMMM yyyy" </w:instrText>
    </w:r>
    <w:r w:rsidRPr="44FA134B">
      <w:rPr>
        <w:rFonts w:ascii="Arial" w:hAnsi="Arial" w:cs="Arial"/>
        <w:color w:val="7F7F7F" w:themeColor="text1" w:themeTint="80"/>
      </w:rPr>
      <w:fldChar w:fldCharType="separate"/>
    </w:r>
    <w:r w:rsidR="00C3076F">
      <w:rPr>
        <w:rFonts w:ascii="Arial" w:hAnsi="Arial" w:cs="Arial"/>
        <w:noProof/>
        <w:color w:val="7F7F7F" w:themeColor="text1" w:themeTint="80"/>
      </w:rPr>
      <w:t>30 January 2025</w:t>
    </w:r>
    <w:r w:rsidRPr="44FA134B">
      <w:rPr>
        <w:rFonts w:ascii="Arial" w:hAnsi="Arial" w:cs="Arial"/>
        <w:color w:val="7F7F7F" w:themeColor="text1" w:themeTint="80"/>
      </w:rPr>
      <w:fldChar w:fldCharType="end"/>
    </w:r>
    <w:r w:rsidR="44FA134B" w:rsidRPr="44FA134B">
      <w:rPr>
        <w:rFonts w:ascii="Arial" w:hAnsi="Arial" w:cs="Arial"/>
        <w:noProof/>
        <w:color w:val="7F7F7F" w:themeColor="text1" w:themeTint="80"/>
      </w:rPr>
      <w:t>19 de diciembre de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CA6FA" w14:textId="77777777" w:rsidR="006632E1" w:rsidRDefault="006632E1">
      <w:r>
        <w:separator/>
      </w:r>
    </w:p>
  </w:footnote>
  <w:footnote w:type="continuationSeparator" w:id="0">
    <w:p w14:paraId="3B549452" w14:textId="77777777" w:rsidR="006632E1" w:rsidRDefault="00663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E44F55" w14:paraId="70984F64" w14:textId="77777777" w:rsidTr="03E961EA">
      <w:trPr>
        <w:trHeight w:val="300"/>
      </w:trPr>
      <w:tc>
        <w:tcPr>
          <w:tcW w:w="3120" w:type="dxa"/>
        </w:tcPr>
        <w:p w14:paraId="08C6F34B" w14:textId="6FC7872F" w:rsidR="03E961EA" w:rsidRDefault="03E961EA" w:rsidP="03E961EA">
          <w:pPr>
            <w:pStyle w:val="Header"/>
            <w:ind w:left="-115"/>
          </w:pPr>
        </w:p>
      </w:tc>
      <w:tc>
        <w:tcPr>
          <w:tcW w:w="3120" w:type="dxa"/>
        </w:tcPr>
        <w:p w14:paraId="34DE3FE0" w14:textId="24B71E77" w:rsidR="03E961EA" w:rsidRDefault="03E961EA" w:rsidP="03E961EA">
          <w:pPr>
            <w:pStyle w:val="Header"/>
            <w:jc w:val="center"/>
          </w:pPr>
        </w:p>
      </w:tc>
      <w:tc>
        <w:tcPr>
          <w:tcW w:w="3120" w:type="dxa"/>
        </w:tcPr>
        <w:p w14:paraId="5FCC27D6" w14:textId="2F42DB73" w:rsidR="03E961EA" w:rsidRDefault="03E961EA" w:rsidP="03E961EA">
          <w:pPr>
            <w:pStyle w:val="Header"/>
            <w:ind w:right="-115"/>
            <w:jc w:val="right"/>
          </w:pPr>
        </w:p>
      </w:tc>
    </w:tr>
  </w:tbl>
  <w:p w14:paraId="37911621" w14:textId="3AFB0A0C" w:rsidR="03E961EA" w:rsidRDefault="03E961EA" w:rsidP="03E961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700F"/>
    <w:multiLevelType w:val="hybridMultilevel"/>
    <w:tmpl w:val="10E0C800"/>
    <w:lvl w:ilvl="0" w:tplc="8F702E38">
      <w:start w:val="1"/>
      <w:numFmt w:val="bullet"/>
      <w:lvlText w:val=""/>
      <w:lvlJc w:val="left"/>
      <w:pPr>
        <w:ind w:left="720" w:hanging="360"/>
      </w:pPr>
      <w:rPr>
        <w:rFonts w:ascii="Symbol" w:hAnsi="Symbol" w:hint="default"/>
      </w:rPr>
    </w:lvl>
    <w:lvl w:ilvl="1" w:tplc="91969CC8">
      <w:start w:val="1"/>
      <w:numFmt w:val="bullet"/>
      <w:lvlText w:val="o"/>
      <w:lvlJc w:val="left"/>
      <w:pPr>
        <w:ind w:left="1440" w:hanging="360"/>
      </w:pPr>
      <w:rPr>
        <w:rFonts w:ascii="Courier New" w:hAnsi="Courier New" w:cs="Courier New" w:hint="default"/>
      </w:rPr>
    </w:lvl>
    <w:lvl w:ilvl="2" w:tplc="11CC1D74" w:tentative="1">
      <w:start w:val="1"/>
      <w:numFmt w:val="bullet"/>
      <w:lvlText w:val=""/>
      <w:lvlJc w:val="left"/>
      <w:pPr>
        <w:ind w:left="2160" w:hanging="360"/>
      </w:pPr>
      <w:rPr>
        <w:rFonts w:ascii="Wingdings" w:hAnsi="Wingdings" w:hint="default"/>
      </w:rPr>
    </w:lvl>
    <w:lvl w:ilvl="3" w:tplc="569AB30C" w:tentative="1">
      <w:start w:val="1"/>
      <w:numFmt w:val="bullet"/>
      <w:lvlText w:val=""/>
      <w:lvlJc w:val="left"/>
      <w:pPr>
        <w:ind w:left="2880" w:hanging="360"/>
      </w:pPr>
      <w:rPr>
        <w:rFonts w:ascii="Symbol" w:hAnsi="Symbol" w:hint="default"/>
      </w:rPr>
    </w:lvl>
    <w:lvl w:ilvl="4" w:tplc="7A6CEC88" w:tentative="1">
      <w:start w:val="1"/>
      <w:numFmt w:val="bullet"/>
      <w:lvlText w:val="o"/>
      <w:lvlJc w:val="left"/>
      <w:pPr>
        <w:ind w:left="3600" w:hanging="360"/>
      </w:pPr>
      <w:rPr>
        <w:rFonts w:ascii="Courier New" w:hAnsi="Courier New" w:cs="Courier New" w:hint="default"/>
      </w:rPr>
    </w:lvl>
    <w:lvl w:ilvl="5" w:tplc="BCFA5412" w:tentative="1">
      <w:start w:val="1"/>
      <w:numFmt w:val="bullet"/>
      <w:lvlText w:val=""/>
      <w:lvlJc w:val="left"/>
      <w:pPr>
        <w:ind w:left="4320" w:hanging="360"/>
      </w:pPr>
      <w:rPr>
        <w:rFonts w:ascii="Wingdings" w:hAnsi="Wingdings" w:hint="default"/>
      </w:rPr>
    </w:lvl>
    <w:lvl w:ilvl="6" w:tplc="930A9488" w:tentative="1">
      <w:start w:val="1"/>
      <w:numFmt w:val="bullet"/>
      <w:lvlText w:val=""/>
      <w:lvlJc w:val="left"/>
      <w:pPr>
        <w:ind w:left="5040" w:hanging="360"/>
      </w:pPr>
      <w:rPr>
        <w:rFonts w:ascii="Symbol" w:hAnsi="Symbol" w:hint="default"/>
      </w:rPr>
    </w:lvl>
    <w:lvl w:ilvl="7" w:tplc="BD6414DE" w:tentative="1">
      <w:start w:val="1"/>
      <w:numFmt w:val="bullet"/>
      <w:lvlText w:val="o"/>
      <w:lvlJc w:val="left"/>
      <w:pPr>
        <w:ind w:left="5760" w:hanging="360"/>
      </w:pPr>
      <w:rPr>
        <w:rFonts w:ascii="Courier New" w:hAnsi="Courier New" w:cs="Courier New" w:hint="default"/>
      </w:rPr>
    </w:lvl>
    <w:lvl w:ilvl="8" w:tplc="F47A8CCC" w:tentative="1">
      <w:start w:val="1"/>
      <w:numFmt w:val="bullet"/>
      <w:lvlText w:val=""/>
      <w:lvlJc w:val="left"/>
      <w:pPr>
        <w:ind w:left="6480" w:hanging="360"/>
      </w:pPr>
      <w:rPr>
        <w:rFonts w:ascii="Wingdings" w:hAnsi="Wingdings" w:hint="default"/>
      </w:rPr>
    </w:lvl>
  </w:abstractNum>
  <w:abstractNum w:abstractNumId="1" w15:restartNumberingAfterBreak="0">
    <w:nsid w:val="06BA4052"/>
    <w:multiLevelType w:val="hybridMultilevel"/>
    <w:tmpl w:val="C270C40A"/>
    <w:lvl w:ilvl="0" w:tplc="37CA9286">
      <w:start w:val="1"/>
      <w:numFmt w:val="decimal"/>
      <w:lvlText w:val="%1."/>
      <w:lvlJc w:val="left"/>
      <w:pPr>
        <w:ind w:left="720" w:hanging="360"/>
      </w:pPr>
    </w:lvl>
    <w:lvl w:ilvl="1" w:tplc="9EE897DC">
      <w:start w:val="1"/>
      <w:numFmt w:val="lowerLetter"/>
      <w:lvlText w:val="%2."/>
      <w:lvlJc w:val="left"/>
      <w:pPr>
        <w:ind w:left="1440" w:hanging="360"/>
      </w:pPr>
    </w:lvl>
    <w:lvl w:ilvl="2" w:tplc="38B00AA4" w:tentative="1">
      <w:start w:val="1"/>
      <w:numFmt w:val="lowerRoman"/>
      <w:lvlText w:val="%3."/>
      <w:lvlJc w:val="right"/>
      <w:pPr>
        <w:ind w:left="2160" w:hanging="180"/>
      </w:pPr>
    </w:lvl>
    <w:lvl w:ilvl="3" w:tplc="B268C4BC" w:tentative="1">
      <w:start w:val="1"/>
      <w:numFmt w:val="decimal"/>
      <w:lvlText w:val="%4."/>
      <w:lvlJc w:val="left"/>
      <w:pPr>
        <w:ind w:left="2880" w:hanging="360"/>
      </w:pPr>
    </w:lvl>
    <w:lvl w:ilvl="4" w:tplc="02107064" w:tentative="1">
      <w:start w:val="1"/>
      <w:numFmt w:val="lowerLetter"/>
      <w:lvlText w:val="%5."/>
      <w:lvlJc w:val="left"/>
      <w:pPr>
        <w:ind w:left="3600" w:hanging="360"/>
      </w:pPr>
    </w:lvl>
    <w:lvl w:ilvl="5" w:tplc="21C83862" w:tentative="1">
      <w:start w:val="1"/>
      <w:numFmt w:val="lowerRoman"/>
      <w:lvlText w:val="%6."/>
      <w:lvlJc w:val="right"/>
      <w:pPr>
        <w:ind w:left="4320" w:hanging="180"/>
      </w:pPr>
    </w:lvl>
    <w:lvl w:ilvl="6" w:tplc="795AF94E" w:tentative="1">
      <w:start w:val="1"/>
      <w:numFmt w:val="decimal"/>
      <w:lvlText w:val="%7."/>
      <w:lvlJc w:val="left"/>
      <w:pPr>
        <w:ind w:left="5040" w:hanging="360"/>
      </w:pPr>
    </w:lvl>
    <w:lvl w:ilvl="7" w:tplc="C922CD1E" w:tentative="1">
      <w:start w:val="1"/>
      <w:numFmt w:val="lowerLetter"/>
      <w:lvlText w:val="%8."/>
      <w:lvlJc w:val="left"/>
      <w:pPr>
        <w:ind w:left="5760" w:hanging="360"/>
      </w:pPr>
    </w:lvl>
    <w:lvl w:ilvl="8" w:tplc="A4F4CEB8" w:tentative="1">
      <w:start w:val="1"/>
      <w:numFmt w:val="lowerRoman"/>
      <w:lvlText w:val="%9."/>
      <w:lvlJc w:val="right"/>
      <w:pPr>
        <w:ind w:left="6480" w:hanging="180"/>
      </w:pPr>
    </w:lvl>
  </w:abstractNum>
  <w:abstractNum w:abstractNumId="2" w15:restartNumberingAfterBreak="0">
    <w:nsid w:val="110359B6"/>
    <w:multiLevelType w:val="hybridMultilevel"/>
    <w:tmpl w:val="E8D00D44"/>
    <w:lvl w:ilvl="0" w:tplc="C9D8E1D8">
      <w:start w:val="1"/>
      <w:numFmt w:val="bullet"/>
      <w:lvlText w:val=""/>
      <w:lvlJc w:val="left"/>
      <w:pPr>
        <w:ind w:left="720" w:hanging="360"/>
      </w:pPr>
      <w:rPr>
        <w:rFonts w:ascii="Symbol" w:hAnsi="Symbol" w:hint="default"/>
      </w:rPr>
    </w:lvl>
    <w:lvl w:ilvl="1" w:tplc="9698B50A">
      <w:start w:val="1"/>
      <w:numFmt w:val="bullet"/>
      <w:lvlText w:val="o"/>
      <w:lvlJc w:val="left"/>
      <w:pPr>
        <w:ind w:left="1440" w:hanging="360"/>
      </w:pPr>
      <w:rPr>
        <w:rFonts w:ascii="Courier New" w:hAnsi="Courier New" w:cs="Courier New" w:hint="default"/>
      </w:rPr>
    </w:lvl>
    <w:lvl w:ilvl="2" w:tplc="CEA65E14" w:tentative="1">
      <w:start w:val="1"/>
      <w:numFmt w:val="bullet"/>
      <w:lvlText w:val=""/>
      <w:lvlJc w:val="left"/>
      <w:pPr>
        <w:ind w:left="2160" w:hanging="360"/>
      </w:pPr>
      <w:rPr>
        <w:rFonts w:ascii="Wingdings" w:hAnsi="Wingdings" w:hint="default"/>
      </w:rPr>
    </w:lvl>
    <w:lvl w:ilvl="3" w:tplc="85FA3182" w:tentative="1">
      <w:start w:val="1"/>
      <w:numFmt w:val="bullet"/>
      <w:lvlText w:val=""/>
      <w:lvlJc w:val="left"/>
      <w:pPr>
        <w:ind w:left="2880" w:hanging="360"/>
      </w:pPr>
      <w:rPr>
        <w:rFonts w:ascii="Symbol" w:hAnsi="Symbol" w:hint="default"/>
      </w:rPr>
    </w:lvl>
    <w:lvl w:ilvl="4" w:tplc="B7C6D5BC" w:tentative="1">
      <w:start w:val="1"/>
      <w:numFmt w:val="bullet"/>
      <w:lvlText w:val="o"/>
      <w:lvlJc w:val="left"/>
      <w:pPr>
        <w:ind w:left="3600" w:hanging="360"/>
      </w:pPr>
      <w:rPr>
        <w:rFonts w:ascii="Courier New" w:hAnsi="Courier New" w:cs="Courier New" w:hint="default"/>
      </w:rPr>
    </w:lvl>
    <w:lvl w:ilvl="5" w:tplc="2584978E" w:tentative="1">
      <w:start w:val="1"/>
      <w:numFmt w:val="bullet"/>
      <w:lvlText w:val=""/>
      <w:lvlJc w:val="left"/>
      <w:pPr>
        <w:ind w:left="4320" w:hanging="360"/>
      </w:pPr>
      <w:rPr>
        <w:rFonts w:ascii="Wingdings" w:hAnsi="Wingdings" w:hint="default"/>
      </w:rPr>
    </w:lvl>
    <w:lvl w:ilvl="6" w:tplc="BC8847C6" w:tentative="1">
      <w:start w:val="1"/>
      <w:numFmt w:val="bullet"/>
      <w:lvlText w:val=""/>
      <w:lvlJc w:val="left"/>
      <w:pPr>
        <w:ind w:left="5040" w:hanging="360"/>
      </w:pPr>
      <w:rPr>
        <w:rFonts w:ascii="Symbol" w:hAnsi="Symbol" w:hint="default"/>
      </w:rPr>
    </w:lvl>
    <w:lvl w:ilvl="7" w:tplc="0DDCFB06" w:tentative="1">
      <w:start w:val="1"/>
      <w:numFmt w:val="bullet"/>
      <w:lvlText w:val="o"/>
      <w:lvlJc w:val="left"/>
      <w:pPr>
        <w:ind w:left="5760" w:hanging="360"/>
      </w:pPr>
      <w:rPr>
        <w:rFonts w:ascii="Courier New" w:hAnsi="Courier New" w:cs="Courier New" w:hint="default"/>
      </w:rPr>
    </w:lvl>
    <w:lvl w:ilvl="8" w:tplc="9BFA5BC6" w:tentative="1">
      <w:start w:val="1"/>
      <w:numFmt w:val="bullet"/>
      <w:lvlText w:val=""/>
      <w:lvlJc w:val="left"/>
      <w:pPr>
        <w:ind w:left="6480" w:hanging="360"/>
      </w:pPr>
      <w:rPr>
        <w:rFonts w:ascii="Wingdings" w:hAnsi="Wingdings" w:hint="default"/>
      </w:rPr>
    </w:lvl>
  </w:abstractNum>
  <w:abstractNum w:abstractNumId="3" w15:restartNumberingAfterBreak="0">
    <w:nsid w:val="19925894"/>
    <w:multiLevelType w:val="hybridMultilevel"/>
    <w:tmpl w:val="7334277C"/>
    <w:lvl w:ilvl="0" w:tplc="E6560C5C">
      <w:start w:val="1"/>
      <w:numFmt w:val="decimal"/>
      <w:lvlText w:val="%1."/>
      <w:lvlJc w:val="left"/>
      <w:pPr>
        <w:ind w:left="720" w:hanging="360"/>
      </w:pPr>
    </w:lvl>
    <w:lvl w:ilvl="1" w:tplc="93EEA584">
      <w:start w:val="1"/>
      <w:numFmt w:val="lowerLetter"/>
      <w:lvlText w:val="%2."/>
      <w:lvlJc w:val="left"/>
      <w:pPr>
        <w:ind w:left="1440" w:hanging="360"/>
      </w:pPr>
    </w:lvl>
    <w:lvl w:ilvl="2" w:tplc="53CAD480">
      <w:start w:val="1"/>
      <w:numFmt w:val="lowerRoman"/>
      <w:lvlText w:val="%3."/>
      <w:lvlJc w:val="right"/>
      <w:pPr>
        <w:ind w:left="2160" w:hanging="180"/>
      </w:pPr>
    </w:lvl>
    <w:lvl w:ilvl="3" w:tplc="EF28855C">
      <w:start w:val="1"/>
      <w:numFmt w:val="decimal"/>
      <w:lvlText w:val="%4."/>
      <w:lvlJc w:val="left"/>
      <w:pPr>
        <w:ind w:left="2880" w:hanging="360"/>
      </w:pPr>
    </w:lvl>
    <w:lvl w:ilvl="4" w:tplc="9AB81156">
      <w:start w:val="1"/>
      <w:numFmt w:val="lowerLetter"/>
      <w:lvlText w:val="%5."/>
      <w:lvlJc w:val="left"/>
      <w:pPr>
        <w:ind w:left="3600" w:hanging="360"/>
      </w:pPr>
    </w:lvl>
    <w:lvl w:ilvl="5" w:tplc="77962ACC">
      <w:start w:val="1"/>
      <w:numFmt w:val="lowerRoman"/>
      <w:lvlText w:val="%6."/>
      <w:lvlJc w:val="right"/>
      <w:pPr>
        <w:ind w:left="4320" w:hanging="180"/>
      </w:pPr>
    </w:lvl>
    <w:lvl w:ilvl="6" w:tplc="432C7DA4">
      <w:start w:val="1"/>
      <w:numFmt w:val="decimal"/>
      <w:lvlText w:val="%7."/>
      <w:lvlJc w:val="left"/>
      <w:pPr>
        <w:ind w:left="5040" w:hanging="360"/>
      </w:pPr>
    </w:lvl>
    <w:lvl w:ilvl="7" w:tplc="63B0EB46">
      <w:start w:val="1"/>
      <w:numFmt w:val="lowerLetter"/>
      <w:lvlText w:val="%8."/>
      <w:lvlJc w:val="left"/>
      <w:pPr>
        <w:ind w:left="5760" w:hanging="360"/>
      </w:pPr>
    </w:lvl>
    <w:lvl w:ilvl="8" w:tplc="7820E632">
      <w:start w:val="1"/>
      <w:numFmt w:val="lowerRoman"/>
      <w:lvlText w:val="%9."/>
      <w:lvlJc w:val="right"/>
      <w:pPr>
        <w:ind w:left="6480" w:hanging="180"/>
      </w:pPr>
    </w:lvl>
  </w:abstractNum>
  <w:abstractNum w:abstractNumId="4" w15:restartNumberingAfterBreak="0">
    <w:nsid w:val="375C031A"/>
    <w:multiLevelType w:val="hybridMultilevel"/>
    <w:tmpl w:val="3FFE8754"/>
    <w:lvl w:ilvl="0" w:tplc="A4F4D1A4">
      <w:start w:val="1"/>
      <w:numFmt w:val="bullet"/>
      <w:lvlText w:val=""/>
      <w:lvlJc w:val="left"/>
      <w:pPr>
        <w:ind w:left="720" w:hanging="360"/>
      </w:pPr>
      <w:rPr>
        <w:rFonts w:ascii="Symbol" w:hAnsi="Symbol" w:hint="default"/>
      </w:rPr>
    </w:lvl>
    <w:lvl w:ilvl="1" w:tplc="28884FC2" w:tentative="1">
      <w:start w:val="1"/>
      <w:numFmt w:val="bullet"/>
      <w:lvlText w:val="o"/>
      <w:lvlJc w:val="left"/>
      <w:pPr>
        <w:ind w:left="1440" w:hanging="360"/>
      </w:pPr>
      <w:rPr>
        <w:rFonts w:ascii="Courier New" w:hAnsi="Courier New" w:cs="Courier New" w:hint="default"/>
      </w:rPr>
    </w:lvl>
    <w:lvl w:ilvl="2" w:tplc="33049930" w:tentative="1">
      <w:start w:val="1"/>
      <w:numFmt w:val="bullet"/>
      <w:lvlText w:val=""/>
      <w:lvlJc w:val="left"/>
      <w:pPr>
        <w:ind w:left="2160" w:hanging="360"/>
      </w:pPr>
      <w:rPr>
        <w:rFonts w:ascii="Wingdings" w:hAnsi="Wingdings" w:hint="default"/>
      </w:rPr>
    </w:lvl>
    <w:lvl w:ilvl="3" w:tplc="62446554" w:tentative="1">
      <w:start w:val="1"/>
      <w:numFmt w:val="bullet"/>
      <w:lvlText w:val=""/>
      <w:lvlJc w:val="left"/>
      <w:pPr>
        <w:ind w:left="2880" w:hanging="360"/>
      </w:pPr>
      <w:rPr>
        <w:rFonts w:ascii="Symbol" w:hAnsi="Symbol" w:hint="default"/>
      </w:rPr>
    </w:lvl>
    <w:lvl w:ilvl="4" w:tplc="BA54DA88" w:tentative="1">
      <w:start w:val="1"/>
      <w:numFmt w:val="bullet"/>
      <w:lvlText w:val="o"/>
      <w:lvlJc w:val="left"/>
      <w:pPr>
        <w:ind w:left="3600" w:hanging="360"/>
      </w:pPr>
      <w:rPr>
        <w:rFonts w:ascii="Courier New" w:hAnsi="Courier New" w:cs="Courier New" w:hint="default"/>
      </w:rPr>
    </w:lvl>
    <w:lvl w:ilvl="5" w:tplc="3BDE124C" w:tentative="1">
      <w:start w:val="1"/>
      <w:numFmt w:val="bullet"/>
      <w:lvlText w:val=""/>
      <w:lvlJc w:val="left"/>
      <w:pPr>
        <w:ind w:left="4320" w:hanging="360"/>
      </w:pPr>
      <w:rPr>
        <w:rFonts w:ascii="Wingdings" w:hAnsi="Wingdings" w:hint="default"/>
      </w:rPr>
    </w:lvl>
    <w:lvl w:ilvl="6" w:tplc="59E4EDCC" w:tentative="1">
      <w:start w:val="1"/>
      <w:numFmt w:val="bullet"/>
      <w:lvlText w:val=""/>
      <w:lvlJc w:val="left"/>
      <w:pPr>
        <w:ind w:left="5040" w:hanging="360"/>
      </w:pPr>
      <w:rPr>
        <w:rFonts w:ascii="Symbol" w:hAnsi="Symbol" w:hint="default"/>
      </w:rPr>
    </w:lvl>
    <w:lvl w:ilvl="7" w:tplc="50B80038" w:tentative="1">
      <w:start w:val="1"/>
      <w:numFmt w:val="bullet"/>
      <w:lvlText w:val="o"/>
      <w:lvlJc w:val="left"/>
      <w:pPr>
        <w:ind w:left="5760" w:hanging="360"/>
      </w:pPr>
      <w:rPr>
        <w:rFonts w:ascii="Courier New" w:hAnsi="Courier New" w:cs="Courier New" w:hint="default"/>
      </w:rPr>
    </w:lvl>
    <w:lvl w:ilvl="8" w:tplc="AB9054C2" w:tentative="1">
      <w:start w:val="1"/>
      <w:numFmt w:val="bullet"/>
      <w:lvlText w:val=""/>
      <w:lvlJc w:val="left"/>
      <w:pPr>
        <w:ind w:left="6480" w:hanging="360"/>
      </w:pPr>
      <w:rPr>
        <w:rFonts w:ascii="Wingdings" w:hAnsi="Wingdings" w:hint="default"/>
      </w:rPr>
    </w:lvl>
  </w:abstractNum>
  <w:abstractNum w:abstractNumId="5" w15:restartNumberingAfterBreak="0">
    <w:nsid w:val="412C072C"/>
    <w:multiLevelType w:val="hybridMultilevel"/>
    <w:tmpl w:val="C270C40A"/>
    <w:lvl w:ilvl="0" w:tplc="F5ECE088">
      <w:start w:val="1"/>
      <w:numFmt w:val="decimal"/>
      <w:lvlText w:val="%1."/>
      <w:lvlJc w:val="left"/>
      <w:pPr>
        <w:ind w:left="720" w:hanging="360"/>
      </w:pPr>
    </w:lvl>
    <w:lvl w:ilvl="1" w:tplc="43C4110E">
      <w:start w:val="1"/>
      <w:numFmt w:val="lowerLetter"/>
      <w:lvlText w:val="%2."/>
      <w:lvlJc w:val="left"/>
      <w:pPr>
        <w:ind w:left="1440" w:hanging="360"/>
      </w:pPr>
    </w:lvl>
    <w:lvl w:ilvl="2" w:tplc="A9EA0C2C" w:tentative="1">
      <w:start w:val="1"/>
      <w:numFmt w:val="lowerRoman"/>
      <w:lvlText w:val="%3."/>
      <w:lvlJc w:val="right"/>
      <w:pPr>
        <w:ind w:left="2160" w:hanging="180"/>
      </w:pPr>
    </w:lvl>
    <w:lvl w:ilvl="3" w:tplc="564AED2C" w:tentative="1">
      <w:start w:val="1"/>
      <w:numFmt w:val="decimal"/>
      <w:lvlText w:val="%4."/>
      <w:lvlJc w:val="left"/>
      <w:pPr>
        <w:ind w:left="2880" w:hanging="360"/>
      </w:pPr>
    </w:lvl>
    <w:lvl w:ilvl="4" w:tplc="74D0EE68" w:tentative="1">
      <w:start w:val="1"/>
      <w:numFmt w:val="lowerLetter"/>
      <w:lvlText w:val="%5."/>
      <w:lvlJc w:val="left"/>
      <w:pPr>
        <w:ind w:left="3600" w:hanging="360"/>
      </w:pPr>
    </w:lvl>
    <w:lvl w:ilvl="5" w:tplc="CFD8144C" w:tentative="1">
      <w:start w:val="1"/>
      <w:numFmt w:val="lowerRoman"/>
      <w:lvlText w:val="%6."/>
      <w:lvlJc w:val="right"/>
      <w:pPr>
        <w:ind w:left="4320" w:hanging="180"/>
      </w:pPr>
    </w:lvl>
    <w:lvl w:ilvl="6" w:tplc="004E134A" w:tentative="1">
      <w:start w:val="1"/>
      <w:numFmt w:val="decimal"/>
      <w:lvlText w:val="%7."/>
      <w:lvlJc w:val="left"/>
      <w:pPr>
        <w:ind w:left="5040" w:hanging="360"/>
      </w:pPr>
    </w:lvl>
    <w:lvl w:ilvl="7" w:tplc="48D20C7A" w:tentative="1">
      <w:start w:val="1"/>
      <w:numFmt w:val="lowerLetter"/>
      <w:lvlText w:val="%8."/>
      <w:lvlJc w:val="left"/>
      <w:pPr>
        <w:ind w:left="5760" w:hanging="360"/>
      </w:pPr>
    </w:lvl>
    <w:lvl w:ilvl="8" w:tplc="F5185CD0" w:tentative="1">
      <w:start w:val="1"/>
      <w:numFmt w:val="lowerRoman"/>
      <w:lvlText w:val="%9."/>
      <w:lvlJc w:val="right"/>
      <w:pPr>
        <w:ind w:left="6480" w:hanging="180"/>
      </w:pPr>
    </w:lvl>
  </w:abstractNum>
  <w:abstractNum w:abstractNumId="6" w15:restartNumberingAfterBreak="0">
    <w:nsid w:val="4C575CD7"/>
    <w:multiLevelType w:val="hybridMultilevel"/>
    <w:tmpl w:val="7514072A"/>
    <w:lvl w:ilvl="0" w:tplc="B1908DA2">
      <w:start w:val="14"/>
      <w:numFmt w:val="decimal"/>
      <w:lvlText w:val="%1."/>
      <w:lvlJc w:val="left"/>
      <w:pPr>
        <w:ind w:left="720" w:hanging="360"/>
      </w:pPr>
    </w:lvl>
    <w:lvl w:ilvl="1" w:tplc="E384BE10">
      <w:start w:val="1"/>
      <w:numFmt w:val="lowerLetter"/>
      <w:lvlText w:val="%2."/>
      <w:lvlJc w:val="left"/>
      <w:pPr>
        <w:ind w:left="1440" w:hanging="360"/>
      </w:pPr>
    </w:lvl>
    <w:lvl w:ilvl="2" w:tplc="FF2C07BA">
      <w:start w:val="1"/>
      <w:numFmt w:val="lowerRoman"/>
      <w:lvlText w:val="%3."/>
      <w:lvlJc w:val="right"/>
      <w:pPr>
        <w:ind w:left="2160" w:hanging="180"/>
      </w:pPr>
    </w:lvl>
    <w:lvl w:ilvl="3" w:tplc="EEC24BB2">
      <w:start w:val="1"/>
      <w:numFmt w:val="decimal"/>
      <w:lvlText w:val="%4."/>
      <w:lvlJc w:val="left"/>
      <w:pPr>
        <w:ind w:left="2880" w:hanging="360"/>
      </w:pPr>
    </w:lvl>
    <w:lvl w:ilvl="4" w:tplc="6422E300">
      <w:start w:val="1"/>
      <w:numFmt w:val="lowerLetter"/>
      <w:lvlText w:val="%5."/>
      <w:lvlJc w:val="left"/>
      <w:pPr>
        <w:ind w:left="3600" w:hanging="360"/>
      </w:pPr>
    </w:lvl>
    <w:lvl w:ilvl="5" w:tplc="132E1664">
      <w:start w:val="1"/>
      <w:numFmt w:val="lowerRoman"/>
      <w:lvlText w:val="%6."/>
      <w:lvlJc w:val="right"/>
      <w:pPr>
        <w:ind w:left="4320" w:hanging="180"/>
      </w:pPr>
    </w:lvl>
    <w:lvl w:ilvl="6" w:tplc="5A447106">
      <w:start w:val="1"/>
      <w:numFmt w:val="decimal"/>
      <w:lvlText w:val="%7."/>
      <w:lvlJc w:val="left"/>
      <w:pPr>
        <w:ind w:left="5040" w:hanging="360"/>
      </w:pPr>
    </w:lvl>
    <w:lvl w:ilvl="7" w:tplc="8CE237CA">
      <w:start w:val="1"/>
      <w:numFmt w:val="lowerLetter"/>
      <w:lvlText w:val="%8."/>
      <w:lvlJc w:val="left"/>
      <w:pPr>
        <w:ind w:left="5760" w:hanging="360"/>
      </w:pPr>
    </w:lvl>
    <w:lvl w:ilvl="8" w:tplc="962EDA60">
      <w:start w:val="1"/>
      <w:numFmt w:val="lowerRoman"/>
      <w:lvlText w:val="%9."/>
      <w:lvlJc w:val="right"/>
      <w:pPr>
        <w:ind w:left="6480" w:hanging="180"/>
      </w:pPr>
    </w:lvl>
  </w:abstractNum>
  <w:abstractNum w:abstractNumId="7" w15:restartNumberingAfterBreak="0">
    <w:nsid w:val="5392B996"/>
    <w:multiLevelType w:val="hybridMultilevel"/>
    <w:tmpl w:val="AFBC4ADE"/>
    <w:lvl w:ilvl="0" w:tplc="3E6064A6">
      <w:start w:val="1"/>
      <w:numFmt w:val="bullet"/>
      <w:lvlText w:val=""/>
      <w:lvlJc w:val="left"/>
      <w:pPr>
        <w:ind w:left="720" w:hanging="360"/>
      </w:pPr>
      <w:rPr>
        <w:rFonts w:ascii="Symbol" w:hAnsi="Symbol" w:hint="default"/>
      </w:rPr>
    </w:lvl>
    <w:lvl w:ilvl="1" w:tplc="B436ED44">
      <w:start w:val="1"/>
      <w:numFmt w:val="bullet"/>
      <w:lvlText w:val="o"/>
      <w:lvlJc w:val="left"/>
      <w:pPr>
        <w:ind w:left="1440" w:hanging="360"/>
      </w:pPr>
      <w:rPr>
        <w:rFonts w:ascii="Courier New" w:hAnsi="Courier New" w:hint="default"/>
      </w:rPr>
    </w:lvl>
    <w:lvl w:ilvl="2" w:tplc="FFF4C550">
      <w:start w:val="1"/>
      <w:numFmt w:val="bullet"/>
      <w:lvlText w:val=""/>
      <w:lvlJc w:val="left"/>
      <w:pPr>
        <w:ind w:left="2160" w:hanging="360"/>
      </w:pPr>
      <w:rPr>
        <w:rFonts w:ascii="Wingdings" w:hAnsi="Wingdings" w:hint="default"/>
      </w:rPr>
    </w:lvl>
    <w:lvl w:ilvl="3" w:tplc="44CA8238">
      <w:start w:val="1"/>
      <w:numFmt w:val="bullet"/>
      <w:lvlText w:val=""/>
      <w:lvlJc w:val="left"/>
      <w:pPr>
        <w:ind w:left="2880" w:hanging="360"/>
      </w:pPr>
      <w:rPr>
        <w:rFonts w:ascii="Symbol" w:hAnsi="Symbol" w:hint="default"/>
      </w:rPr>
    </w:lvl>
    <w:lvl w:ilvl="4" w:tplc="31A29E6C">
      <w:start w:val="1"/>
      <w:numFmt w:val="bullet"/>
      <w:lvlText w:val="o"/>
      <w:lvlJc w:val="left"/>
      <w:pPr>
        <w:ind w:left="3600" w:hanging="360"/>
      </w:pPr>
      <w:rPr>
        <w:rFonts w:ascii="Courier New" w:hAnsi="Courier New" w:hint="default"/>
      </w:rPr>
    </w:lvl>
    <w:lvl w:ilvl="5" w:tplc="1B284EE0">
      <w:start w:val="1"/>
      <w:numFmt w:val="bullet"/>
      <w:lvlText w:val=""/>
      <w:lvlJc w:val="left"/>
      <w:pPr>
        <w:ind w:left="4320" w:hanging="360"/>
      </w:pPr>
      <w:rPr>
        <w:rFonts w:ascii="Wingdings" w:hAnsi="Wingdings" w:hint="default"/>
      </w:rPr>
    </w:lvl>
    <w:lvl w:ilvl="6" w:tplc="77B2629C">
      <w:start w:val="1"/>
      <w:numFmt w:val="bullet"/>
      <w:lvlText w:val=""/>
      <w:lvlJc w:val="left"/>
      <w:pPr>
        <w:ind w:left="5040" w:hanging="360"/>
      </w:pPr>
      <w:rPr>
        <w:rFonts w:ascii="Symbol" w:hAnsi="Symbol" w:hint="default"/>
      </w:rPr>
    </w:lvl>
    <w:lvl w:ilvl="7" w:tplc="6BDC54FA">
      <w:start w:val="1"/>
      <w:numFmt w:val="bullet"/>
      <w:lvlText w:val="o"/>
      <w:lvlJc w:val="left"/>
      <w:pPr>
        <w:ind w:left="5760" w:hanging="360"/>
      </w:pPr>
      <w:rPr>
        <w:rFonts w:ascii="Courier New" w:hAnsi="Courier New" w:hint="default"/>
      </w:rPr>
    </w:lvl>
    <w:lvl w:ilvl="8" w:tplc="5A783ADE">
      <w:start w:val="1"/>
      <w:numFmt w:val="bullet"/>
      <w:lvlText w:val=""/>
      <w:lvlJc w:val="left"/>
      <w:pPr>
        <w:ind w:left="6480" w:hanging="360"/>
      </w:pPr>
      <w:rPr>
        <w:rFonts w:ascii="Wingdings" w:hAnsi="Wingdings" w:hint="default"/>
      </w:rPr>
    </w:lvl>
  </w:abstractNum>
  <w:abstractNum w:abstractNumId="8" w15:restartNumberingAfterBreak="0">
    <w:nsid w:val="56B412BC"/>
    <w:multiLevelType w:val="hybridMultilevel"/>
    <w:tmpl w:val="12D00C2C"/>
    <w:lvl w:ilvl="0" w:tplc="82BE4256">
      <w:start w:val="1"/>
      <w:numFmt w:val="decimal"/>
      <w:lvlText w:val="%1."/>
      <w:lvlJc w:val="left"/>
      <w:pPr>
        <w:ind w:left="720" w:hanging="360"/>
      </w:pPr>
      <w:rPr>
        <w:rFonts w:hint="default"/>
      </w:rPr>
    </w:lvl>
    <w:lvl w:ilvl="1" w:tplc="2AFEBD54" w:tentative="1">
      <w:start w:val="1"/>
      <w:numFmt w:val="lowerLetter"/>
      <w:lvlText w:val="%2."/>
      <w:lvlJc w:val="left"/>
      <w:pPr>
        <w:ind w:left="1440" w:hanging="360"/>
      </w:pPr>
    </w:lvl>
    <w:lvl w:ilvl="2" w:tplc="D2580E7A" w:tentative="1">
      <w:start w:val="1"/>
      <w:numFmt w:val="lowerRoman"/>
      <w:lvlText w:val="%3."/>
      <w:lvlJc w:val="right"/>
      <w:pPr>
        <w:ind w:left="2160" w:hanging="180"/>
      </w:pPr>
    </w:lvl>
    <w:lvl w:ilvl="3" w:tplc="CFEC4158" w:tentative="1">
      <w:start w:val="1"/>
      <w:numFmt w:val="decimal"/>
      <w:lvlText w:val="%4."/>
      <w:lvlJc w:val="left"/>
      <w:pPr>
        <w:ind w:left="2880" w:hanging="360"/>
      </w:pPr>
    </w:lvl>
    <w:lvl w:ilvl="4" w:tplc="2D64A49C" w:tentative="1">
      <w:start w:val="1"/>
      <w:numFmt w:val="lowerLetter"/>
      <w:lvlText w:val="%5."/>
      <w:lvlJc w:val="left"/>
      <w:pPr>
        <w:ind w:left="3600" w:hanging="360"/>
      </w:pPr>
    </w:lvl>
    <w:lvl w:ilvl="5" w:tplc="74043368" w:tentative="1">
      <w:start w:val="1"/>
      <w:numFmt w:val="lowerRoman"/>
      <w:lvlText w:val="%6."/>
      <w:lvlJc w:val="right"/>
      <w:pPr>
        <w:ind w:left="4320" w:hanging="180"/>
      </w:pPr>
    </w:lvl>
    <w:lvl w:ilvl="6" w:tplc="6D607B66" w:tentative="1">
      <w:start w:val="1"/>
      <w:numFmt w:val="decimal"/>
      <w:lvlText w:val="%7."/>
      <w:lvlJc w:val="left"/>
      <w:pPr>
        <w:ind w:left="5040" w:hanging="360"/>
      </w:pPr>
    </w:lvl>
    <w:lvl w:ilvl="7" w:tplc="8CFAC844" w:tentative="1">
      <w:start w:val="1"/>
      <w:numFmt w:val="lowerLetter"/>
      <w:lvlText w:val="%8."/>
      <w:lvlJc w:val="left"/>
      <w:pPr>
        <w:ind w:left="5760" w:hanging="360"/>
      </w:pPr>
    </w:lvl>
    <w:lvl w:ilvl="8" w:tplc="8DF8033A" w:tentative="1">
      <w:start w:val="1"/>
      <w:numFmt w:val="lowerRoman"/>
      <w:lvlText w:val="%9."/>
      <w:lvlJc w:val="right"/>
      <w:pPr>
        <w:ind w:left="6480" w:hanging="180"/>
      </w:pPr>
    </w:lvl>
  </w:abstractNum>
  <w:abstractNum w:abstractNumId="9" w15:restartNumberingAfterBreak="0">
    <w:nsid w:val="62A21BE7"/>
    <w:multiLevelType w:val="hybridMultilevel"/>
    <w:tmpl w:val="142644D4"/>
    <w:lvl w:ilvl="0" w:tplc="FEEEAAAA">
      <w:start w:val="1"/>
      <w:numFmt w:val="bullet"/>
      <w:lvlText w:val=""/>
      <w:lvlJc w:val="left"/>
      <w:pPr>
        <w:ind w:left="720" w:hanging="360"/>
      </w:pPr>
      <w:rPr>
        <w:rFonts w:ascii="Symbol" w:hAnsi="Symbol" w:hint="default"/>
      </w:rPr>
    </w:lvl>
    <w:lvl w:ilvl="1" w:tplc="C6FE9B6A">
      <w:start w:val="1"/>
      <w:numFmt w:val="bullet"/>
      <w:lvlText w:val="o"/>
      <w:lvlJc w:val="left"/>
      <w:pPr>
        <w:ind w:left="1440" w:hanging="360"/>
      </w:pPr>
      <w:rPr>
        <w:rFonts w:ascii="Courier New" w:hAnsi="Courier New" w:hint="default"/>
      </w:rPr>
    </w:lvl>
    <w:lvl w:ilvl="2" w:tplc="BDD4FC08">
      <w:start w:val="1"/>
      <w:numFmt w:val="bullet"/>
      <w:lvlText w:val=""/>
      <w:lvlJc w:val="left"/>
      <w:pPr>
        <w:ind w:left="2160" w:hanging="360"/>
      </w:pPr>
      <w:rPr>
        <w:rFonts w:ascii="Wingdings" w:hAnsi="Wingdings" w:hint="default"/>
      </w:rPr>
    </w:lvl>
    <w:lvl w:ilvl="3" w:tplc="58CC15F4">
      <w:start w:val="1"/>
      <w:numFmt w:val="bullet"/>
      <w:lvlText w:val=""/>
      <w:lvlJc w:val="left"/>
      <w:pPr>
        <w:ind w:left="2880" w:hanging="360"/>
      </w:pPr>
      <w:rPr>
        <w:rFonts w:ascii="Symbol" w:hAnsi="Symbol" w:hint="default"/>
      </w:rPr>
    </w:lvl>
    <w:lvl w:ilvl="4" w:tplc="B7FE0EC8">
      <w:start w:val="1"/>
      <w:numFmt w:val="bullet"/>
      <w:lvlText w:val="o"/>
      <w:lvlJc w:val="left"/>
      <w:pPr>
        <w:ind w:left="3600" w:hanging="360"/>
      </w:pPr>
      <w:rPr>
        <w:rFonts w:ascii="Courier New" w:hAnsi="Courier New" w:hint="default"/>
      </w:rPr>
    </w:lvl>
    <w:lvl w:ilvl="5" w:tplc="4A540128">
      <w:start w:val="1"/>
      <w:numFmt w:val="bullet"/>
      <w:lvlText w:val=""/>
      <w:lvlJc w:val="left"/>
      <w:pPr>
        <w:ind w:left="4320" w:hanging="360"/>
      </w:pPr>
      <w:rPr>
        <w:rFonts w:ascii="Wingdings" w:hAnsi="Wingdings" w:hint="default"/>
      </w:rPr>
    </w:lvl>
    <w:lvl w:ilvl="6" w:tplc="B7B64CD0">
      <w:start w:val="1"/>
      <w:numFmt w:val="bullet"/>
      <w:lvlText w:val=""/>
      <w:lvlJc w:val="left"/>
      <w:pPr>
        <w:ind w:left="5040" w:hanging="360"/>
      </w:pPr>
      <w:rPr>
        <w:rFonts w:ascii="Symbol" w:hAnsi="Symbol" w:hint="default"/>
      </w:rPr>
    </w:lvl>
    <w:lvl w:ilvl="7" w:tplc="158AA14C">
      <w:start w:val="1"/>
      <w:numFmt w:val="bullet"/>
      <w:lvlText w:val="o"/>
      <w:lvlJc w:val="left"/>
      <w:pPr>
        <w:ind w:left="5760" w:hanging="360"/>
      </w:pPr>
      <w:rPr>
        <w:rFonts w:ascii="Courier New" w:hAnsi="Courier New" w:hint="default"/>
      </w:rPr>
    </w:lvl>
    <w:lvl w:ilvl="8" w:tplc="6A501B58">
      <w:start w:val="1"/>
      <w:numFmt w:val="bullet"/>
      <w:lvlText w:val=""/>
      <w:lvlJc w:val="left"/>
      <w:pPr>
        <w:ind w:left="6480" w:hanging="360"/>
      </w:pPr>
      <w:rPr>
        <w:rFonts w:ascii="Wingdings" w:hAnsi="Wingdings" w:hint="default"/>
      </w:rPr>
    </w:lvl>
  </w:abstractNum>
  <w:abstractNum w:abstractNumId="10" w15:restartNumberingAfterBreak="0">
    <w:nsid w:val="79A39718"/>
    <w:multiLevelType w:val="hybridMultilevel"/>
    <w:tmpl w:val="0CD0D036"/>
    <w:lvl w:ilvl="0" w:tplc="B2C6D508">
      <w:start w:val="1"/>
      <w:numFmt w:val="bullet"/>
      <w:lvlText w:val=""/>
      <w:lvlJc w:val="left"/>
      <w:pPr>
        <w:ind w:left="720" w:hanging="360"/>
      </w:pPr>
      <w:rPr>
        <w:rFonts w:ascii="Symbol" w:hAnsi="Symbol" w:hint="default"/>
      </w:rPr>
    </w:lvl>
    <w:lvl w:ilvl="1" w:tplc="11D8EB80">
      <w:start w:val="1"/>
      <w:numFmt w:val="bullet"/>
      <w:lvlText w:val="o"/>
      <w:lvlJc w:val="left"/>
      <w:pPr>
        <w:ind w:left="1440" w:hanging="360"/>
      </w:pPr>
      <w:rPr>
        <w:rFonts w:ascii="Courier New" w:hAnsi="Courier New" w:hint="default"/>
      </w:rPr>
    </w:lvl>
    <w:lvl w:ilvl="2" w:tplc="11AC4B52">
      <w:start w:val="1"/>
      <w:numFmt w:val="bullet"/>
      <w:lvlText w:val=""/>
      <w:lvlJc w:val="left"/>
      <w:pPr>
        <w:ind w:left="2160" w:hanging="360"/>
      </w:pPr>
      <w:rPr>
        <w:rFonts w:ascii="Wingdings" w:hAnsi="Wingdings" w:hint="default"/>
      </w:rPr>
    </w:lvl>
    <w:lvl w:ilvl="3" w:tplc="ED823AD2">
      <w:start w:val="1"/>
      <w:numFmt w:val="bullet"/>
      <w:lvlText w:val=""/>
      <w:lvlJc w:val="left"/>
      <w:pPr>
        <w:ind w:left="2880" w:hanging="360"/>
      </w:pPr>
      <w:rPr>
        <w:rFonts w:ascii="Symbol" w:hAnsi="Symbol" w:hint="default"/>
      </w:rPr>
    </w:lvl>
    <w:lvl w:ilvl="4" w:tplc="E2628554">
      <w:start w:val="1"/>
      <w:numFmt w:val="bullet"/>
      <w:lvlText w:val="o"/>
      <w:lvlJc w:val="left"/>
      <w:pPr>
        <w:ind w:left="3600" w:hanging="360"/>
      </w:pPr>
      <w:rPr>
        <w:rFonts w:ascii="Courier New" w:hAnsi="Courier New" w:hint="default"/>
      </w:rPr>
    </w:lvl>
    <w:lvl w:ilvl="5" w:tplc="5B16B22A">
      <w:start w:val="1"/>
      <w:numFmt w:val="bullet"/>
      <w:lvlText w:val=""/>
      <w:lvlJc w:val="left"/>
      <w:pPr>
        <w:ind w:left="4320" w:hanging="360"/>
      </w:pPr>
      <w:rPr>
        <w:rFonts w:ascii="Wingdings" w:hAnsi="Wingdings" w:hint="default"/>
      </w:rPr>
    </w:lvl>
    <w:lvl w:ilvl="6" w:tplc="9D7C3686">
      <w:start w:val="1"/>
      <w:numFmt w:val="bullet"/>
      <w:lvlText w:val=""/>
      <w:lvlJc w:val="left"/>
      <w:pPr>
        <w:ind w:left="5040" w:hanging="360"/>
      </w:pPr>
      <w:rPr>
        <w:rFonts w:ascii="Symbol" w:hAnsi="Symbol" w:hint="default"/>
      </w:rPr>
    </w:lvl>
    <w:lvl w:ilvl="7" w:tplc="13C27F34">
      <w:start w:val="1"/>
      <w:numFmt w:val="bullet"/>
      <w:lvlText w:val="o"/>
      <w:lvlJc w:val="left"/>
      <w:pPr>
        <w:ind w:left="5760" w:hanging="360"/>
      </w:pPr>
      <w:rPr>
        <w:rFonts w:ascii="Courier New" w:hAnsi="Courier New" w:hint="default"/>
      </w:rPr>
    </w:lvl>
    <w:lvl w:ilvl="8" w:tplc="8D3228DE">
      <w:start w:val="1"/>
      <w:numFmt w:val="bullet"/>
      <w:lvlText w:val=""/>
      <w:lvlJc w:val="left"/>
      <w:pPr>
        <w:ind w:left="6480" w:hanging="360"/>
      </w:pPr>
      <w:rPr>
        <w:rFonts w:ascii="Wingdings" w:hAnsi="Wingdings" w:hint="default"/>
      </w:rPr>
    </w:lvl>
  </w:abstractNum>
  <w:num w:numId="1" w16cid:durableId="1515345895">
    <w:abstractNumId w:val="9"/>
  </w:num>
  <w:num w:numId="2" w16cid:durableId="191000530">
    <w:abstractNumId w:val="7"/>
  </w:num>
  <w:num w:numId="3" w16cid:durableId="1186595852">
    <w:abstractNumId w:val="10"/>
  </w:num>
  <w:num w:numId="4" w16cid:durableId="3483663">
    <w:abstractNumId w:val="3"/>
  </w:num>
  <w:num w:numId="5" w16cid:durableId="494031673">
    <w:abstractNumId w:val="6"/>
  </w:num>
  <w:num w:numId="6" w16cid:durableId="1078748843">
    <w:abstractNumId w:val="2"/>
  </w:num>
  <w:num w:numId="7" w16cid:durableId="1458336097">
    <w:abstractNumId w:val="5"/>
  </w:num>
  <w:num w:numId="8" w16cid:durableId="314578472">
    <w:abstractNumId w:val="1"/>
  </w:num>
  <w:num w:numId="9" w16cid:durableId="1422139528">
    <w:abstractNumId w:val="8"/>
  </w:num>
  <w:num w:numId="10" w16cid:durableId="237591410">
    <w:abstractNumId w:val="4"/>
  </w:num>
  <w:num w:numId="11" w16cid:durableId="1882404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9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F3"/>
    <w:rsid w:val="00033A2D"/>
    <w:rsid w:val="000629CE"/>
    <w:rsid w:val="00066FAC"/>
    <w:rsid w:val="000969DA"/>
    <w:rsid w:val="000B5013"/>
    <w:rsid w:val="000D1829"/>
    <w:rsid w:val="002213AD"/>
    <w:rsid w:val="00227DB0"/>
    <w:rsid w:val="00257F55"/>
    <w:rsid w:val="00265733"/>
    <w:rsid w:val="002C60FE"/>
    <w:rsid w:val="002D1BB8"/>
    <w:rsid w:val="00310D92"/>
    <w:rsid w:val="00355A8A"/>
    <w:rsid w:val="00366FC8"/>
    <w:rsid w:val="00424CBD"/>
    <w:rsid w:val="00491D42"/>
    <w:rsid w:val="0051398C"/>
    <w:rsid w:val="00577545"/>
    <w:rsid w:val="00593125"/>
    <w:rsid w:val="005A4911"/>
    <w:rsid w:val="005E2A61"/>
    <w:rsid w:val="00607360"/>
    <w:rsid w:val="00647F05"/>
    <w:rsid w:val="006632E1"/>
    <w:rsid w:val="0066596A"/>
    <w:rsid w:val="00694C2B"/>
    <w:rsid w:val="0069731E"/>
    <w:rsid w:val="006B1C86"/>
    <w:rsid w:val="006C3A7F"/>
    <w:rsid w:val="006E5063"/>
    <w:rsid w:val="00786B3E"/>
    <w:rsid w:val="007A4569"/>
    <w:rsid w:val="007F6EA8"/>
    <w:rsid w:val="00850EF5"/>
    <w:rsid w:val="008557DD"/>
    <w:rsid w:val="008C2B85"/>
    <w:rsid w:val="008D00AD"/>
    <w:rsid w:val="008E774E"/>
    <w:rsid w:val="009117C2"/>
    <w:rsid w:val="00A12194"/>
    <w:rsid w:val="00A3160C"/>
    <w:rsid w:val="00A62C0E"/>
    <w:rsid w:val="00A82D91"/>
    <w:rsid w:val="00AA3E47"/>
    <w:rsid w:val="00AC0D5A"/>
    <w:rsid w:val="00B14E8B"/>
    <w:rsid w:val="00B70FF5"/>
    <w:rsid w:val="00BB3190"/>
    <w:rsid w:val="00C3076F"/>
    <w:rsid w:val="00C61610"/>
    <w:rsid w:val="00C61C0E"/>
    <w:rsid w:val="00CF2CC2"/>
    <w:rsid w:val="00CF7FBE"/>
    <w:rsid w:val="00D2560A"/>
    <w:rsid w:val="00D3517E"/>
    <w:rsid w:val="00D4519A"/>
    <w:rsid w:val="00D80DA4"/>
    <w:rsid w:val="00DE6D0E"/>
    <w:rsid w:val="00E00401"/>
    <w:rsid w:val="00E135B3"/>
    <w:rsid w:val="00E44F55"/>
    <w:rsid w:val="00E61EF3"/>
    <w:rsid w:val="00E73A92"/>
    <w:rsid w:val="00E84998"/>
    <w:rsid w:val="00ED490F"/>
    <w:rsid w:val="00F62D5C"/>
    <w:rsid w:val="00F720F7"/>
    <w:rsid w:val="00FE468A"/>
    <w:rsid w:val="03E961EA"/>
    <w:rsid w:val="04B1E3EF"/>
    <w:rsid w:val="0958F821"/>
    <w:rsid w:val="0CD864BE"/>
    <w:rsid w:val="1465564E"/>
    <w:rsid w:val="225167BA"/>
    <w:rsid w:val="2DFF8D99"/>
    <w:rsid w:val="31AB1CC9"/>
    <w:rsid w:val="4118F725"/>
    <w:rsid w:val="4391FD1C"/>
    <w:rsid w:val="44FA134B"/>
    <w:rsid w:val="460290B5"/>
    <w:rsid w:val="4A3A8F4A"/>
    <w:rsid w:val="5DF2A8B9"/>
    <w:rsid w:val="62ACDA5A"/>
    <w:rsid w:val="6C80AD8D"/>
    <w:rsid w:val="708D4A79"/>
    <w:rsid w:val="7267706F"/>
    <w:rsid w:val="76B7B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954F13"/>
  <w15:chartTrackingRefBased/>
  <w15:docId w15:val="{2A9AA226-EFF5-3842-93E5-50D6758C9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3A2D"/>
    <w:pPr>
      <w:ind w:left="720"/>
      <w:contextualSpacing/>
    </w:pPr>
  </w:style>
  <w:style w:type="paragraph" w:styleId="Header">
    <w:name w:val="header"/>
    <w:basedOn w:val="Normal"/>
    <w:link w:val="HeaderChar"/>
    <w:uiPriority w:val="99"/>
    <w:unhideWhenUsed/>
    <w:rsid w:val="002213AD"/>
    <w:pPr>
      <w:tabs>
        <w:tab w:val="center" w:pos="4680"/>
        <w:tab w:val="right" w:pos="9360"/>
      </w:tabs>
    </w:pPr>
  </w:style>
  <w:style w:type="character" w:customStyle="1" w:styleId="HeaderChar">
    <w:name w:val="Header Char"/>
    <w:basedOn w:val="DefaultParagraphFont"/>
    <w:link w:val="Header"/>
    <w:uiPriority w:val="99"/>
    <w:rsid w:val="002213AD"/>
  </w:style>
  <w:style w:type="paragraph" w:styleId="Footer">
    <w:name w:val="footer"/>
    <w:basedOn w:val="Normal"/>
    <w:link w:val="FooterChar"/>
    <w:uiPriority w:val="99"/>
    <w:unhideWhenUsed/>
    <w:rsid w:val="002213AD"/>
    <w:pPr>
      <w:tabs>
        <w:tab w:val="center" w:pos="4680"/>
        <w:tab w:val="right" w:pos="9360"/>
      </w:tabs>
    </w:pPr>
  </w:style>
  <w:style w:type="character" w:customStyle="1" w:styleId="FooterChar">
    <w:name w:val="Footer Char"/>
    <w:basedOn w:val="DefaultParagraphFont"/>
    <w:link w:val="Footer"/>
    <w:uiPriority w:val="99"/>
    <w:rsid w:val="002213AD"/>
  </w:style>
  <w:style w:type="character" w:styleId="PageNumber">
    <w:name w:val="page number"/>
    <w:basedOn w:val="DefaultParagraphFont"/>
    <w:uiPriority w:val="99"/>
    <w:semiHidden/>
    <w:unhideWhenUsed/>
    <w:rsid w:val="006B1C86"/>
  </w:style>
  <w:style w:type="paragraph" w:styleId="NoSpacing">
    <w:name w:val="No Spacing"/>
    <w:uiPriority w:val="1"/>
    <w:qFormat/>
    <w:rsid w:val="006B1C86"/>
    <w:rPr>
      <w:rFonts w:eastAsiaTheme="minorEastAsia"/>
      <w:kern w:val="0"/>
      <w:sz w:val="22"/>
      <w:szCs w:val="22"/>
      <w:lang w:eastAsia="zh-CN"/>
      <w14:ligatures w14:val="none"/>
    </w:rPr>
  </w:style>
  <w:style w:type="table" w:styleId="TableGrid">
    <w:name w:val="Table Grid"/>
    <w:basedOn w:val="TableNormal"/>
    <w:uiPriority w:val="39"/>
    <w:rsid w:val="00786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86B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786B3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694C2B"/>
    <w:rPr>
      <w:color w:val="0563C1" w:themeColor="hyperlink"/>
      <w:u w:val="single"/>
    </w:rPr>
  </w:style>
  <w:style w:type="character" w:customStyle="1" w:styleId="UnresolvedMention1">
    <w:name w:val="Unresolved Mention1"/>
    <w:basedOn w:val="DefaultParagraphFont"/>
    <w:uiPriority w:val="99"/>
    <w:semiHidden/>
    <w:unhideWhenUsed/>
    <w:rsid w:val="00694C2B"/>
    <w:rPr>
      <w:color w:val="605E5C"/>
      <w:shd w:val="clear" w:color="auto" w:fill="E1DFDD"/>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A4911"/>
  </w:style>
  <w:style w:type="paragraph" w:styleId="CommentSubject">
    <w:name w:val="annotation subject"/>
    <w:basedOn w:val="CommentText"/>
    <w:next w:val="CommentText"/>
    <w:link w:val="CommentSubjectChar"/>
    <w:uiPriority w:val="99"/>
    <w:semiHidden/>
    <w:unhideWhenUsed/>
    <w:rsid w:val="005A4911"/>
    <w:rPr>
      <w:b/>
      <w:bCs/>
    </w:rPr>
  </w:style>
  <w:style w:type="character" w:customStyle="1" w:styleId="CommentSubjectChar">
    <w:name w:val="Comment Subject Char"/>
    <w:basedOn w:val="CommentTextChar"/>
    <w:link w:val="CommentSubject"/>
    <w:uiPriority w:val="99"/>
    <w:semiHidden/>
    <w:rsid w:val="005A49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partner.fairtradecertified.org/program-resources/APfYiJ2owUNVmurP4Fltd"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partner.fairtradecertified.org/program-resources/6CQ6j1wAV3sW3PeoULMknz"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partner.fairtradecertified.org/program-resources/1r3YyT6ZrxPJK2ivCjTQhU"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partner.fairtradecertified.org/program-resources" TargetMode="External"/><Relationship Id="rId20" Type="http://schemas.openxmlformats.org/officeDocument/2006/relationships/hyperlink" Target="https://partner.fairtradecertified.org/program-resources/3yzxG2kEdDbpTSIzXYdElK"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partner.fairtradecertified.org/program-resources/7FeshZZ9n5gW12kshPPtz3" TargetMode="External"/><Relationship Id="rId5" Type="http://schemas.openxmlformats.org/officeDocument/2006/relationships/footnotes" Target="footnotes.xml"/><Relationship Id="rId15" Type="http://schemas.openxmlformats.org/officeDocument/2006/relationships/hyperlink" Target="https://partner.fairtradecertified.org/program-resources/7FeshZZ9n5gW12kshPPtz3" TargetMode="External"/><Relationship Id="rId23" Type="http://schemas.openxmlformats.org/officeDocument/2006/relationships/hyperlink" Target="https://partner.fairtradecertified.org/program-resources/5L3zNiQvfc7BC9GbwE70es" TargetMode="External"/><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https://partner.fairtradecertified.org/program-resources/3yzxG2kEdDbpTSIzXYdEl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partner.fairtradecertified.org/program-resources/4SOsFgUxBAQ8mD1SbKFNzN"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1120</Words>
  <Characters>6386</Characters>
  <Application>Microsoft Office Word</Application>
  <DocSecurity>2</DocSecurity>
  <Lines>53</Lines>
  <Paragraphs>14</Paragraphs>
  <ScaleCrop>false</ScaleCrop>
  <Company/>
  <LinksUpToDate>false</LinksUpToDate>
  <CharactersWithSpaces>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Celena Foglia</dc:creator>
  <cp:lastModifiedBy>Jennifer Song</cp:lastModifiedBy>
  <cp:revision>8</cp:revision>
  <dcterms:created xsi:type="dcterms:W3CDTF">2024-04-29T19:49:00Z</dcterms:created>
  <dcterms:modified xsi:type="dcterms:W3CDTF">2025-01-31T01:53:00Z</dcterms:modified>
</cp:coreProperties>
</file>