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p w:rsidR="008D00AD" w:rsidRPr="007A4569" w14:paraId="36149D19" w14:textId="684C0BD0">
      <w:pPr>
        <w:rPr>
          <w:rFonts w:ascii="Georgia" w:hAnsi="Georgia"/>
          <w:b/>
          <w:bCs/>
          <w:color w:val="1F4E79" w:themeColor="accent5" w:themeShade="80"/>
          <w:sz w:val="48"/>
          <w:szCs w:val="48"/>
        </w:rPr>
      </w:pPr>
      <w:r w:rsidRPr="007A4569">
        <w:rPr>
          <w:rFonts w:ascii="Georgia" w:hAnsi="Georgia"/>
          <w:b/>
          <w:bCs/>
          <w:noProof/>
          <w:color w:val="5B9BD5" w:themeColor="accent5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5815965</wp:posOffset>
            </wp:positionH>
            <wp:positionV relativeFrom="page">
              <wp:posOffset>389255</wp:posOffset>
            </wp:positionV>
            <wp:extent cx="592455" cy="811530"/>
            <wp:effectExtent l="0" t="0" r="4445" b="1270"/>
            <wp:wrapTight wrapText="bothSides">
              <wp:wrapPolygon>
                <wp:start x="0" y="0"/>
                <wp:lineTo x="0" y="21296"/>
                <wp:lineTo x="21299" y="21296"/>
                <wp:lineTo x="21299" y="0"/>
                <wp:lineTo x="0" y="0"/>
              </wp:wrapPolygon>
            </wp:wrapTight>
            <wp:docPr id="1481794769" name="Picture 7" descr="A sign with a person in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794769" name="Picture 7" descr="A sign with a person in a pot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6" r="1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1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569" w:rsidR="000969DA">
        <w:rPr>
          <w:rFonts w:ascii="Georgia" w:hAnsi="Georgia"/>
          <w:b/>
          <w:bCs/>
          <w:color w:val="1F4E79" w:themeColor="accent5" w:themeShade="80"/>
          <w:sz w:val="48"/>
          <w:szCs w:val="48"/>
        </w:rPr>
        <w:t>Cómo abordar las NC abiertas y cerradas con contingencia de auditorías anteriores</w:t>
      </w:r>
    </w:p>
    <w:p w:rsidR="00850EF5" w:rsidRPr="00E84998" w14:paraId="0387FC74" w14:textId="7A606286">
      <w:pPr>
        <w:rPr>
          <w:color w:val="7F7F7F" w:themeColor="text1" w:themeTint="8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58371</wp:posOffset>
                </wp:positionV>
                <wp:extent cx="6412963" cy="0"/>
                <wp:effectExtent l="0" t="0" r="13335" b="12700"/>
                <wp:wrapNone/>
                <wp:docPr id="126613229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4129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5" style="mso-wrap-distance-bottom:0;mso-wrap-distance-left:9pt;mso-wrap-distance-right:9pt;mso-wrap-distance-top:0;mso-wrap-style:square;position:absolute;visibility:visible;z-index:251660288" from="0,4.6pt" to="504.95pt,4.6pt" strokecolor="#4472c4" strokeweight="0.5pt">
                <v:stroke joinstyle="miter"/>
              </v:line>
            </w:pict>
          </mc:Fallback>
        </mc:AlternateContent>
      </w:r>
    </w:p>
    <w:p w:rsidR="00E135B3" w:rsidP="0CD864BE" w14:paraId="631BBE50" w14:textId="789203B1">
      <w:pPr>
        <w:rPr>
          <w:rFonts w:ascii="Arial" w:hAnsi="Arial" w:cs="Arial"/>
          <w:color w:val="000000" w:themeColor="text1"/>
        </w:rPr>
      </w:pPr>
      <w:r w:rsidRPr="0A5DD9D1">
        <w:rPr>
          <w:rFonts w:ascii="Arial" w:hAnsi="Arial" w:cs="Arial"/>
          <w:color w:val="000000" w:themeColor="text1"/>
        </w:rPr>
        <w:t>El propósito de esta guía es identificar cómo abordar cualquier no conformidad (NC) abierta o cerrada con contingencia que se identificaron durante una auditoría anterior de Fair Trade USA™ y que permanezcan abiertas en el momento de la próxima auditoría.</w:t>
      </w:r>
    </w:p>
    <w:p w:rsidR="1A833A50" w:rsidP="1A833A50" w14:paraId="0DBA9E32" w14:textId="6F14AC68">
      <w:pPr>
        <w:rPr>
          <w:rFonts w:ascii="Arial" w:hAnsi="Arial" w:cs="Arial"/>
          <w:color w:val="000000" w:themeColor="text1"/>
        </w:rPr>
      </w:pPr>
    </w:p>
    <w:p w:rsidR="5DF2A8B9" w:rsidP="5DF2A8B9" w14:paraId="0EF1BEC4" w14:textId="31BA4CEC">
      <w:pPr>
        <w:rPr>
          <w:rFonts w:ascii="Arial" w:hAnsi="Arial" w:cs="Arial"/>
          <w:color w:val="1F3864" w:themeColor="accent1" w:themeShade="80"/>
        </w:rPr>
      </w:pPr>
    </w:p>
    <w:p w:rsidR="5DF2A8B9" w:rsidP="5DF2A8B9" w14:paraId="1D67CAC7" w14:textId="798736C3">
      <w:pPr>
        <w:rPr>
          <w:rFonts w:ascii="Arial" w:eastAsia="Arial" w:hAnsi="Arial" w:cs="Arial"/>
          <w:color w:val="1F4E79" w:themeColor="accent5" w:themeShade="80"/>
          <w:sz w:val="28"/>
          <w:szCs w:val="28"/>
        </w:rPr>
      </w:pPr>
      <w:r w:rsidRPr="1A833A50">
        <w:rPr>
          <w:rFonts w:ascii="Arial" w:eastAsia="Arial" w:hAnsi="Arial" w:cs="Arial"/>
          <w:b/>
          <w:bCs/>
          <w:color w:val="1F4E79" w:themeColor="accent5" w:themeShade="80"/>
          <w:sz w:val="28"/>
          <w:szCs w:val="28"/>
        </w:rPr>
        <w:t>Público de la capacitación</w:t>
      </w:r>
    </w:p>
    <w:p w:rsidR="1A833A50" w:rsidP="1A833A50" w14:paraId="162155AA" w14:textId="0853B37A">
      <w:pPr>
        <w:rPr>
          <w:rFonts w:ascii="Arial" w:eastAsia="Arial" w:hAnsi="Arial" w:cs="Arial"/>
          <w:b/>
          <w:bCs/>
          <w:color w:val="1F4E79" w:themeColor="accent5" w:themeShade="80"/>
          <w:sz w:val="28"/>
          <w:szCs w:val="28"/>
        </w:rPr>
      </w:pPr>
    </w:p>
    <w:p w:rsidR="5DF2A8B9" w:rsidP="0388ADD8" w14:paraId="72F5C7A3" w14:textId="79E30125">
      <w:pPr>
        <w:rPr>
          <w:rFonts w:ascii="Arial" w:eastAsia="Arial" w:hAnsi="Arial" w:cs="Arial"/>
          <w:color w:val="1F3864" w:themeColor="accent1" w:themeShade="80"/>
        </w:rPr>
      </w:pPr>
      <w:r w:rsidRPr="5D83CD5E">
        <w:rPr>
          <w:rFonts w:ascii="Arial" w:eastAsia="Arial" w:hAnsi="Arial" w:cs="Arial"/>
        </w:rPr>
        <w:t>Esta guía está destinada a ser un recurso para el Organismo de Evaluación de Conformidad (OEC) y los auditores.</w:t>
      </w:r>
    </w:p>
    <w:p w:rsidR="1A833A50" w:rsidP="1A833A50" w14:paraId="0D82050E" w14:textId="175696ED">
      <w:pPr>
        <w:rPr>
          <w:rFonts w:ascii="Arial" w:eastAsia="Arial" w:hAnsi="Arial" w:cs="Arial"/>
        </w:rPr>
      </w:pPr>
    </w:p>
    <w:p w:rsidR="00D3517E" w:rsidRPr="00D3517E" w:rsidP="0388ADD8" w14:paraId="078DC7CD" w14:textId="7F50F9A6">
      <w:pPr>
        <w:rPr>
          <w:rFonts w:ascii="Arial" w:hAnsi="Arial" w:cs="Arial"/>
          <w:color w:val="1F3864" w:themeColor="accent1" w:themeShade="80"/>
        </w:rPr>
      </w:pPr>
    </w:p>
    <w:p w:rsidR="00D3517E" w:rsidRPr="00D3517E" w:rsidP="53458324" w14:paraId="5E396330" w14:textId="001CB327">
      <w:pPr>
        <w:spacing w:line="259" w:lineRule="auto"/>
      </w:pPr>
      <w:r w:rsidRPr="408A5FDD">
        <w:rPr>
          <w:rFonts w:ascii="Arial" w:eastAsia="Arial" w:hAnsi="Arial" w:cs="Arial"/>
          <w:b/>
          <w:bCs/>
          <w:color w:val="1F4E79" w:themeColor="accent5" w:themeShade="80"/>
          <w:sz w:val="28"/>
          <w:szCs w:val="28"/>
        </w:rPr>
        <w:t>Cómo abordar las NC abiertas o cerradas con contingencia de auditorías anteriores</w:t>
      </w:r>
    </w:p>
    <w:p w:rsidR="00D3517E" w:rsidRPr="00D3517E" w:rsidP="53458324" w14:paraId="3D10A0AE" w14:textId="02D25045">
      <w:pPr>
        <w:rPr>
          <w:rFonts w:ascii="Arial" w:eastAsia="Arial" w:hAnsi="Arial" w:cs="Arial"/>
          <w:color w:val="1F4E79" w:themeColor="accent5" w:themeShade="80"/>
          <w:sz w:val="28"/>
          <w:szCs w:val="28"/>
        </w:rPr>
      </w:pPr>
    </w:p>
    <w:p w:rsidR="00D3517E" w:rsidRPr="00D3517E" w:rsidP="7D013B59" w14:paraId="53B2E302" w14:textId="57644CA9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A5DD9D1">
        <w:rPr>
          <w:rFonts w:ascii="Arial" w:eastAsia="Arial" w:hAnsi="Arial" w:cs="Arial"/>
        </w:rPr>
        <w:t>Como auditor principal, después de que se le asigne una auditoría y antes de comenzar la auditoría in situ, revise el Resumen de no conformidades anteriores en los Términos de referencia (ToR).</w:t>
      </w:r>
    </w:p>
    <w:p w:rsidR="00D3517E" w:rsidRPr="00D3517E" w:rsidP="7B59C3AF" w14:paraId="6AA4CC53" w14:textId="1D83BF67">
      <w:pPr>
        <w:spacing w:line="259" w:lineRule="auto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>
            <wp:extent cx="6134100" cy="1047908"/>
            <wp:effectExtent l="0" t="0" r="0" b="0"/>
            <wp:docPr id="537111139" name="Picture 53711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11139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04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7E" w:rsidRPr="00D3517E" w:rsidP="7D013B59" w14:paraId="01B6DE09" w14:textId="4878E4AB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7B59C3AF">
        <w:rPr>
          <w:rFonts w:ascii="Arial" w:eastAsia="Arial" w:hAnsi="Arial" w:cs="Arial"/>
          <w:color w:val="000000" w:themeColor="text1"/>
        </w:rPr>
        <w:t xml:space="preserve">Si alguna NC está abierta o cerrada con contingencia, </w:t>
      </w:r>
      <w:r w:rsidRPr="7B59C3AF">
        <w:rPr>
          <w:rFonts w:ascii="Arial" w:eastAsia="Arial" w:hAnsi="Arial" w:cs="Arial"/>
          <w:color w:val="000000" w:themeColor="text1"/>
        </w:rPr>
        <w:t>abra la descripción general del formulario de Revisión y cierre de NC y busque el nombre del Titular del Certificado o la ID de comercio justo.</w:t>
      </w:r>
    </w:p>
    <w:p w:rsidR="7D013B59" w:rsidP="163CECE8" w14:paraId="5F0676DD" w14:textId="7DFAB2D1">
      <w:pPr>
        <w:spacing w:line="259" w:lineRule="auto"/>
        <w:jc w:val="center"/>
      </w:pPr>
      <w:r>
        <w:rPr>
          <w:noProof/>
        </w:rPr>
        <w:drawing>
          <wp:inline distT="0" distB="0" distL="0" distR="0">
            <wp:extent cx="5582810" cy="1430596"/>
            <wp:effectExtent l="0" t="0" r="0" b="0"/>
            <wp:docPr id="179883238" name="Picture 17988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3238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810" cy="143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3CECE8" w:rsidP="163CECE8" w14:paraId="732F1C3A" w14:textId="7A0038AC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A5DD9D1">
        <w:rPr>
          <w:rFonts w:ascii="Arial" w:eastAsia="Arial" w:hAnsi="Arial" w:cs="Arial"/>
          <w:color w:val="000000" w:themeColor="text1"/>
        </w:rPr>
        <w:t>Después de aplicar un filtro para ver solo los registros de Revisión y cierre de NC del Titular del Certificado (CH), aplique una clasificación descendente a la columna de fecha de vencimiento final para ver su formulario de Revisión y cierre de NC más reciente.</w:t>
      </w:r>
    </w:p>
    <w:p w:rsidR="00D3517E" w:rsidRPr="00D3517E" w:rsidP="408A5FDD" w14:paraId="19632D8F" w14:textId="124A52D8">
      <w:pPr>
        <w:spacing w:line="259" w:lineRule="auto"/>
        <w:jc w:val="center"/>
      </w:pPr>
      <w:r>
        <w:rPr>
          <w:noProof/>
        </w:rPr>
        <w:drawing>
          <wp:inline distT="0" distB="0" distL="0" distR="0">
            <wp:extent cx="5495263" cy="1476851"/>
            <wp:effectExtent l="0" t="0" r="0" b="0"/>
            <wp:docPr id="480941943" name="Picture 48094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41943" name="Picture 480941943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263" cy="147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88ADD8" w:rsidP="0388ADD8" w14:paraId="26B57D2D" w14:textId="2B432617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A5DD9D1">
        <w:rPr>
          <w:rFonts w:ascii="Arial" w:eastAsia="Arial" w:hAnsi="Arial" w:cs="Arial"/>
          <w:color w:val="000000" w:themeColor="text1"/>
        </w:rPr>
        <w:t>Abra el formulario de Revisión y cierre de NC que no se encuentre en el estado “Completado”.</w:t>
      </w:r>
    </w:p>
    <w:p w:rsidR="00D3517E" w:rsidRPr="00D3517E" w:rsidP="0388ADD8" w14:paraId="4E592932" w14:textId="79073E4C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A5DD9D1">
        <w:rPr>
          <w:rFonts w:ascii="Arial" w:eastAsia="Arial" w:hAnsi="Arial" w:cs="Arial"/>
          <w:color w:val="000000" w:themeColor="text1"/>
        </w:rPr>
        <w:t>Compruebe en la sección NC si hay alguna NC con el estado "Abierta" o "Cerrada con contingencias".</w:t>
      </w:r>
      <w:r w:rsidR="26CE8C94">
        <w:rPr>
          <w:noProof/>
        </w:rPr>
        <w:drawing>
          <wp:inline distT="0" distB="0" distL="0" distR="0">
            <wp:extent cx="5934076" cy="1162089"/>
            <wp:effectExtent l="0" t="0" r="0" b="0"/>
            <wp:docPr id="360969749" name="Picture 187800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69749" name="Picture 1878002661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6" cy="116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88ADD8" w:rsidP="163CECE8" w14:paraId="2D97B6A2" w14:textId="3FE9DDF5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A5DD9D1">
        <w:rPr>
          <w:rFonts w:ascii="Arial" w:eastAsia="Arial" w:hAnsi="Arial" w:cs="Arial"/>
          <w:color w:val="000000" w:themeColor="text1"/>
        </w:rPr>
        <w:t>Si alguna NC tiene el estado "Abierta" o "Cerrada con contingencias", revise la información disponible en la NC. Al realizar la auditoría in situ, confirme que estas NC se han abordado adecuadamente.</w:t>
      </w:r>
    </w:p>
    <w:p w:rsidR="0388ADD8" w:rsidP="7B59C3AF" w14:paraId="0D3979A6" w14:textId="41F7AAA8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A5DD9D1">
        <w:rPr>
          <w:rFonts w:ascii="Arial" w:eastAsia="Arial" w:hAnsi="Arial" w:cs="Arial"/>
          <w:color w:val="000000" w:themeColor="text1"/>
        </w:rPr>
        <w:t>Si se han abordado las NC, una vez realizada la auditoría o cuando se disponga de una conexión estable a Internet, navegue de nuevo al formulario de Revisión y cierre de NC para cerrar las NC "Abiertas" o "Cerradas con contingencias" seleccionando la opción "Editar" de la parte superior izquierda y haciendo clic en la NC que esté abierta o cerrada con contingencias.</w:t>
      </w:r>
    </w:p>
    <w:p w:rsidR="163CECE8" w:rsidP="163CECE8" w14:paraId="14609CEF" w14:textId="6B5DB43D">
      <w:pPr>
        <w:spacing w:line="259" w:lineRule="auto"/>
        <w:jc w:val="center"/>
      </w:pPr>
      <w:r>
        <w:rPr>
          <w:noProof/>
        </w:rPr>
        <w:drawing>
          <wp:inline distT="0" distB="0" distL="0" distR="0">
            <wp:extent cx="1876774" cy="606562"/>
            <wp:effectExtent l="0" t="0" r="0" b="0"/>
            <wp:docPr id="667588093" name="Picture 667588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88093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774" cy="6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88ADD8" w:rsidP="408A5FDD" w14:paraId="4896F27B" w14:textId="56A9DFED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A5DD9D1">
        <w:rPr>
          <w:rFonts w:ascii="Arial" w:eastAsia="Arial" w:hAnsi="Arial" w:cs="Arial"/>
          <w:color w:val="000000" w:themeColor="text1"/>
        </w:rPr>
        <w:t xml:space="preserve">Marque la NC como 'Cerrada' y proporcione una explicación (ejemplo: NC abierta en el momento de la próxima auditoría anual. NC cerrada durante la auditoría [ID de auditoría]) de acuerdo con el cierre de NC de PAM. Para obtener más información sobre el cierre de NC, consulte el </w:t>
      </w:r>
      <w:hyperlink r:id="rId10" w:history="1">
        <w:r w:rsidRPr="0A5DD9D1">
          <w:rPr>
            <w:rStyle w:val="Hyperlink"/>
            <w:rFonts w:ascii="Arial" w:eastAsia="Arial" w:hAnsi="Arial" w:cs="Arial"/>
          </w:rPr>
          <w:t>Manual de garantía del programa de agricultura y productos del mar</w:t>
        </w:r>
      </w:hyperlink>
      <w:r w:rsidRPr="0A5DD9D1">
        <w:rPr>
          <w:rFonts w:ascii="Arial" w:eastAsia="Arial" w:hAnsi="Arial" w:cs="Arial"/>
          <w:color w:val="000000" w:themeColor="text1"/>
        </w:rPr>
        <w:t xml:space="preserve"> o el </w:t>
      </w:r>
      <w:hyperlink r:id="rId11" w:history="1">
        <w:hyperlink r:id="rId12" w:history="1">
          <w:r w:rsidRPr="0A5DD9D1">
            <w:rPr>
              <w:rStyle w:val="Hyperlink"/>
              <w:rFonts w:ascii="Arial" w:eastAsia="Arial" w:hAnsi="Arial" w:cs="Arial"/>
            </w:rPr>
            <w:t>Manual</w:t>
          </w:r>
        </w:hyperlink>
      </w:hyperlink>
      <w:r w:rsidRPr="0A5DD9D1">
        <w:rPr>
          <w:rFonts w:ascii="Arial" w:eastAsia="Arial" w:hAnsi="Arial" w:cs="Arial"/>
          <w:color w:val="000000" w:themeColor="text1"/>
        </w:rPr>
        <w:t xml:space="preserve"> de garantía del programa de fábrica.</w:t>
      </w:r>
    </w:p>
    <w:p w:rsidR="0388ADD8" w:rsidP="0388ADD8" w14:paraId="3010811C" w14:textId="1F352D05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A5DD9D1">
        <w:rPr>
          <w:rFonts w:ascii="Arial" w:eastAsia="Arial" w:hAnsi="Arial" w:cs="Arial"/>
          <w:color w:val="000000" w:themeColor="text1"/>
        </w:rPr>
        <w:t>Repita para cualquier otro criterio de NC con una NC “Abierta” o “Cerrada con contingencias”.</w:t>
      </w:r>
    </w:p>
    <w:p w:rsidR="0388ADD8" w:rsidP="0388ADD8" w14:paraId="4296E09B" w14:textId="50DB0B31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A5DD9D1">
        <w:rPr>
          <w:rFonts w:ascii="Arial" w:eastAsia="Arial" w:hAnsi="Arial" w:cs="Arial"/>
          <w:color w:val="000000" w:themeColor="text1"/>
        </w:rPr>
        <w:t>Guarde el formulario de Revisión y cierre de NC y avance el estado seleccionando 'Todas las NC cerradas, Plan de acción correctiva completado'.</w:t>
      </w:r>
    </w:p>
    <w:p w:rsidR="0388ADD8" w:rsidP="408A5FDD" w14:paraId="7A6E95EA" w14:textId="023F7623">
      <w:pPr>
        <w:spacing w:line="259" w:lineRule="auto"/>
        <w:jc w:val="center"/>
      </w:pPr>
      <w:r>
        <w:rPr>
          <w:noProof/>
        </w:rPr>
        <w:drawing>
          <wp:inline distT="0" distB="0" distL="0" distR="0">
            <wp:extent cx="5685182" cy="2724150"/>
            <wp:effectExtent l="0" t="0" r="0" b="0"/>
            <wp:docPr id="2057755099" name="Picture 2057755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55099" name="Picture 2057755099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182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458324" w:rsidP="408A5FDD" w14:paraId="5711D068" w14:textId="360484B6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:rsidR="53458324" w:rsidRPr="008205C0" w:rsidP="008205C0" w14:paraId="1C85AC59" w14:textId="04A13C00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008205C0">
        <w:rPr>
          <w:rFonts w:ascii="Arial" w:eastAsia="Arial" w:hAnsi="Arial" w:cs="Arial"/>
        </w:rPr>
        <w:t xml:space="preserve">Si no se han abordado las NC, actualice la sección de notas en la NC en el formulario de Revisión y cierre de NC, y comience el proceso de suspensión </w:t>
      </w:r>
      <w:r w:rsidRPr="008205C0">
        <w:rPr>
          <w:rFonts w:ascii="Arial" w:eastAsia="Arial" w:hAnsi="Arial" w:cs="Arial"/>
          <w:color w:val="000000" w:themeColor="text1"/>
        </w:rPr>
        <w:t xml:space="preserve">de acuerdo con el cierre de NC del Manual de garantía del programa. Para obtener más información sobre el cierre de NC, consulte el </w:t>
      </w:r>
      <w:hyperlink w:history="1">
        <w:hyperlink r:id="rId10" w:history="1">
          <w:r w:rsidRPr="008205C0">
            <w:rPr>
              <w:rStyle w:val="Hyperlink"/>
              <w:rFonts w:ascii="Arial" w:eastAsia="Arial" w:hAnsi="Arial" w:cs="Arial"/>
            </w:rPr>
            <w:t>Manual de garantía del programa de agricultura y productos del mar</w:t>
          </w:r>
        </w:hyperlink>
      </w:hyperlink>
      <w:r w:rsidRPr="008205C0">
        <w:rPr>
          <w:rFonts w:ascii="Arial" w:eastAsia="Arial" w:hAnsi="Arial" w:cs="Arial"/>
          <w:color w:val="000000" w:themeColor="text1"/>
        </w:rPr>
        <w:t xml:space="preserve"> o el </w:t>
      </w:r>
      <w:hyperlink r:id="rId11" w:history="1">
        <w:hyperlink r:id="rId12" w:history="1">
          <w:r w:rsidRPr="008205C0" w:rsidR="008205C0">
            <w:rPr>
              <w:rStyle w:val="Hyperlink"/>
              <w:rFonts w:ascii="Arial" w:eastAsia="Arial" w:hAnsi="Arial" w:cs="Arial"/>
            </w:rPr>
            <w:t>Manual de garantía del programa de fábrica</w:t>
          </w:r>
        </w:hyperlink>
      </w:hyperlink>
      <w:r w:rsidRPr="008205C0" w:rsidR="008205C0">
        <w:rPr>
          <w:rFonts w:ascii="Arial" w:eastAsia="Arial" w:hAnsi="Arial" w:cs="Arial"/>
          <w:color w:val="000000" w:themeColor="text1"/>
        </w:rPr>
        <w:t>.</w:t>
      </w:r>
    </w:p>
    <w:p w:rsidR="00E135B3" w:rsidP="1465564E" w14:paraId="5B628D31" w14:textId="276C684B">
      <w:pPr>
        <w:spacing w:line="259" w:lineRule="auto"/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</w:pPr>
    </w:p>
    <w:p w:rsidR="008557DD" w:rsidP="26CE8C94" w14:paraId="7767F4CD" w14:textId="6B93BA21">
      <w:pPr>
        <w:spacing w:line="259" w:lineRule="auto"/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</w:pPr>
    </w:p>
    <w:sectPr w:rsidSect="00E54179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394555344"/>
      <w:docPartObj>
        <w:docPartGallery w:val="Page Numbers (Bottom of Page)"/>
        <w:docPartUnique/>
      </w:docPartObj>
    </w:sdtPr>
    <w:sdtContent>
      <w:p w:rsidR="00AC0D5A" w:rsidP="00C61C0E" w14:paraId="18F40B56" w14:textId="3814A9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67244213"/>
      <w:docPartObj>
        <w:docPartGallery w:val="Page Numbers (Bottom of Page)"/>
        <w:docPartUnique/>
      </w:docPartObj>
    </w:sdtPr>
    <w:sdtContent>
      <w:p w:rsidR="006B1C86" w:rsidP="00AC0D5A" w14:paraId="3C4F78FE" w14:textId="15ABCDDA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2213AD" w:rsidP="006B1C86" w14:paraId="33C1A18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rFonts w:ascii="Arial" w:hAnsi="Arial" w:cs="Arial"/>
        <w:color w:val="7F7F7F" w:themeColor="text1" w:themeTint="80"/>
      </w:rPr>
      <w:id w:val="-773316345"/>
      <w:docPartObj>
        <w:docPartGallery w:val="Page Numbers (Bottom of Page)"/>
        <w:docPartUnique/>
      </w:docPartObj>
    </w:sdtPr>
    <w:sdtContent>
      <w:p w:rsidR="00AC0D5A" w:rsidRPr="00AC0D5A" w:rsidP="00C61C0E" w14:paraId="071D6232" w14:textId="4049C4BA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color w:val="7F7F7F" w:themeColor="text1" w:themeTint="80"/>
          </w:rPr>
        </w:pPr>
        <w:r w:rsidRPr="00AC0D5A">
          <w:rPr>
            <w:rStyle w:val="PageNumber"/>
            <w:rFonts w:ascii="Arial" w:hAnsi="Arial" w:cs="Arial"/>
            <w:color w:val="7F7F7F" w:themeColor="text1" w:themeTint="80"/>
          </w:rPr>
          <w:t xml:space="preserve">Página </w:t>
        </w:r>
        <w:r w:rsidRPr="00AC0D5A">
          <w:rPr>
            <w:rStyle w:val="PageNumber"/>
            <w:rFonts w:ascii="Arial" w:hAnsi="Arial" w:cs="Arial"/>
            <w:color w:val="7F7F7F" w:themeColor="text1" w:themeTint="80"/>
          </w:rPr>
          <w:fldChar w:fldCharType="begin"/>
        </w:r>
        <w:r w:rsidRPr="00AC0D5A">
          <w:rPr>
            <w:rStyle w:val="PageNumber"/>
            <w:rFonts w:ascii="Arial" w:hAnsi="Arial" w:cs="Arial"/>
            <w:color w:val="7F7F7F" w:themeColor="text1" w:themeTint="80"/>
          </w:rPr>
          <w:instrText xml:space="preserve"> PAGE </w:instrText>
        </w:r>
        <w:r w:rsidRPr="00AC0D5A">
          <w:rPr>
            <w:rStyle w:val="PageNumber"/>
            <w:rFonts w:ascii="Arial" w:hAnsi="Arial" w:cs="Arial"/>
            <w:color w:val="7F7F7F" w:themeColor="text1" w:themeTint="80"/>
          </w:rPr>
          <w:fldChar w:fldCharType="separate"/>
        </w:r>
        <w:r w:rsidRPr="00AC0D5A">
          <w:rPr>
            <w:rStyle w:val="PageNumber"/>
            <w:rFonts w:ascii="Arial" w:hAnsi="Arial" w:cs="Arial"/>
            <w:color w:val="7F7F7F" w:themeColor="text1" w:themeTint="80"/>
          </w:rPr>
          <w:t>3</w:t>
        </w:r>
        <w:r w:rsidRPr="00AC0D5A">
          <w:rPr>
            <w:rStyle w:val="PageNumber"/>
            <w:rFonts w:ascii="Arial" w:hAnsi="Arial" w:cs="Arial"/>
            <w:color w:val="7F7F7F" w:themeColor="text1" w:themeTint="80"/>
          </w:rPr>
          <w:fldChar w:fldCharType="end"/>
        </w:r>
      </w:p>
    </w:sdtContent>
  </w:sdt>
  <w:p w:rsidR="002213AD" w:rsidRPr="00AC0D5A" w:rsidP="00366FC8" w14:paraId="2FF3C70A" w14:textId="1FAF39B7">
    <w:pPr>
      <w:pStyle w:val="Footer"/>
      <w:ind w:right="360"/>
      <w:rPr>
        <w:rFonts w:ascii="Arial" w:hAnsi="Arial" w:cs="Arial"/>
        <w:color w:val="7F7F7F" w:themeColor="text1" w:themeTint="80"/>
      </w:rPr>
    </w:pPr>
    <w:r>
      <w:rPr>
        <w:rFonts w:ascii="Arial" w:hAnsi="Arial" w:cs="Arial"/>
        <w:color w:val="7F7F7F" w:themeColor="text1" w:themeTint="80"/>
      </w:rPr>
      <w:fldChar w:fldCharType="begin"/>
    </w:r>
    <w:r>
      <w:rPr>
        <w:rFonts w:ascii="Arial" w:hAnsi="Arial" w:cs="Arial"/>
        <w:color w:val="7F7F7F" w:themeColor="text1" w:themeTint="80"/>
      </w:rPr>
      <w:instrText xml:space="preserve"> DATE \@ "d MMMM yyyy" </w:instrText>
    </w:r>
    <w:r>
      <w:rPr>
        <w:rFonts w:ascii="Arial" w:hAnsi="Arial" w:cs="Arial"/>
        <w:color w:val="7F7F7F" w:themeColor="text1" w:themeTint="80"/>
      </w:rPr>
      <w:fldChar w:fldCharType="separate"/>
    </w:r>
    <w:r>
      <w:rPr>
        <w:rFonts w:ascii="Arial" w:hAnsi="Arial" w:cs="Arial"/>
        <w:color w:val="7F7F7F" w:themeColor="text1" w:themeTint="80"/>
      </w:rPr>
      <w:t>21 May 2024</w:t>
    </w:r>
    <w:r>
      <w:rPr>
        <w:rFonts w:ascii="Arial" w:hAnsi="Arial" w:cs="Arial"/>
        <w:color w:val="7F7F7F" w:themeColor="text1" w:themeTint="8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6B700F"/>
    <w:multiLevelType w:val="hybridMultilevel"/>
    <w:tmpl w:val="10E0C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4052"/>
    <w:multiLevelType w:val="hybridMultilevel"/>
    <w:tmpl w:val="C270C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C2A55"/>
    <w:multiLevelType w:val="hybridMultilevel"/>
    <w:tmpl w:val="6D327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359B6"/>
    <w:multiLevelType w:val="hybridMultilevel"/>
    <w:tmpl w:val="E8D00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36993"/>
    <w:multiLevelType w:val="hybridMultilevel"/>
    <w:tmpl w:val="6D327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25894"/>
    <w:multiLevelType w:val="hybridMultilevel"/>
    <w:tmpl w:val="BF080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C031A"/>
    <w:multiLevelType w:val="hybridMultilevel"/>
    <w:tmpl w:val="3FFE8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C072C"/>
    <w:multiLevelType w:val="hybridMultilevel"/>
    <w:tmpl w:val="C270C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75CD7"/>
    <w:multiLevelType w:val="hybridMultilevel"/>
    <w:tmpl w:val="E27AFB1A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412BC"/>
    <w:multiLevelType w:val="hybridMultilevel"/>
    <w:tmpl w:val="12D0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902A0"/>
    <w:multiLevelType w:val="hybridMultilevel"/>
    <w:tmpl w:val="CDC0BA7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F3"/>
    <w:rsid w:val="00030146"/>
    <w:rsid w:val="00033A2D"/>
    <w:rsid w:val="000969DA"/>
    <w:rsid w:val="000B5013"/>
    <w:rsid w:val="000D1829"/>
    <w:rsid w:val="000F3E6B"/>
    <w:rsid w:val="002213AD"/>
    <w:rsid w:val="00257F55"/>
    <w:rsid w:val="00265733"/>
    <w:rsid w:val="002C60FE"/>
    <w:rsid w:val="002D1BB8"/>
    <w:rsid w:val="00310D92"/>
    <w:rsid w:val="00355A8A"/>
    <w:rsid w:val="00366FC8"/>
    <w:rsid w:val="00424CBD"/>
    <w:rsid w:val="004E670E"/>
    <w:rsid w:val="0051398C"/>
    <w:rsid w:val="00577545"/>
    <w:rsid w:val="00593125"/>
    <w:rsid w:val="005E2A61"/>
    <w:rsid w:val="00605540"/>
    <w:rsid w:val="00607360"/>
    <w:rsid w:val="00647F05"/>
    <w:rsid w:val="00685A3B"/>
    <w:rsid w:val="00694C2B"/>
    <w:rsid w:val="0069731E"/>
    <w:rsid w:val="006B1C86"/>
    <w:rsid w:val="006C3A7F"/>
    <w:rsid w:val="006E5063"/>
    <w:rsid w:val="00786B3E"/>
    <w:rsid w:val="007A4569"/>
    <w:rsid w:val="007F6EA8"/>
    <w:rsid w:val="008205C0"/>
    <w:rsid w:val="00850EF5"/>
    <w:rsid w:val="008557DD"/>
    <w:rsid w:val="008C2B85"/>
    <w:rsid w:val="008D00AD"/>
    <w:rsid w:val="008E774E"/>
    <w:rsid w:val="009117C2"/>
    <w:rsid w:val="00A12194"/>
    <w:rsid w:val="00A82D91"/>
    <w:rsid w:val="00AA3E47"/>
    <w:rsid w:val="00AA6BE4"/>
    <w:rsid w:val="00AC0D5A"/>
    <w:rsid w:val="00B14E8B"/>
    <w:rsid w:val="00B70FF5"/>
    <w:rsid w:val="00BB3190"/>
    <w:rsid w:val="00C61610"/>
    <w:rsid w:val="00C61C0E"/>
    <w:rsid w:val="00CF2CC2"/>
    <w:rsid w:val="00CF7FBE"/>
    <w:rsid w:val="00D3517E"/>
    <w:rsid w:val="00D4519A"/>
    <w:rsid w:val="00D80DA4"/>
    <w:rsid w:val="00DE6D0E"/>
    <w:rsid w:val="00E00401"/>
    <w:rsid w:val="00E135B3"/>
    <w:rsid w:val="00E54179"/>
    <w:rsid w:val="00E61EF3"/>
    <w:rsid w:val="00E73A92"/>
    <w:rsid w:val="00E84998"/>
    <w:rsid w:val="00ED490F"/>
    <w:rsid w:val="00F720F7"/>
    <w:rsid w:val="00F821FB"/>
    <w:rsid w:val="0388ADD8"/>
    <w:rsid w:val="05D148B3"/>
    <w:rsid w:val="0A5DD9D1"/>
    <w:rsid w:val="0CD864BE"/>
    <w:rsid w:val="1465564E"/>
    <w:rsid w:val="163CECE8"/>
    <w:rsid w:val="17D198EF"/>
    <w:rsid w:val="1A833A50"/>
    <w:rsid w:val="21E24A5B"/>
    <w:rsid w:val="26CE8C94"/>
    <w:rsid w:val="408A5FDD"/>
    <w:rsid w:val="50B95C2E"/>
    <w:rsid w:val="53458324"/>
    <w:rsid w:val="56F7B8FA"/>
    <w:rsid w:val="5D83CD5E"/>
    <w:rsid w:val="5DF2A8B9"/>
    <w:rsid w:val="6ED21567"/>
    <w:rsid w:val="7B59C3AF"/>
    <w:rsid w:val="7D013B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954F13"/>
  <w15:chartTrackingRefBased/>
  <w15:docId w15:val="{2A9AA226-EFF5-3842-93E5-50D6758C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rtl w:val="0"/>
        <w:lang w:eastAsia="en-US" w:bidi="ar-SA"/>
        <w14:ligatures w14:val="standardContextual"/>
      </w:rPr>
    </w:rPrDefault>
    <w:pPrDefault>
      <w:pPr>
        <w:bidi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3AD"/>
  </w:style>
  <w:style w:type="paragraph" w:styleId="Footer">
    <w:name w:val="footer"/>
    <w:basedOn w:val="Normal"/>
    <w:link w:val="FooterChar"/>
    <w:uiPriority w:val="99"/>
    <w:unhideWhenUsed/>
    <w:rsid w:val="00221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3AD"/>
  </w:style>
  <w:style w:type="character" w:styleId="PageNumber">
    <w:name w:val="page number"/>
    <w:basedOn w:val="DefaultParagraphFont"/>
    <w:uiPriority w:val="99"/>
    <w:semiHidden/>
    <w:unhideWhenUsed/>
    <w:rsid w:val="006B1C86"/>
  </w:style>
  <w:style w:type="paragraph" w:styleId="NoSpacing">
    <w:name w:val="No Spacing"/>
    <w:uiPriority w:val="1"/>
    <w:qFormat/>
    <w:rsid w:val="006B1C86"/>
    <w:rPr>
      <w:rFonts w:eastAsiaTheme="minorEastAsia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78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786B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86B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694C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4C2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821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1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partner.fairtradecertified.org/program-resources/3yzxG2kEdDbpTSIzXYdElK" TargetMode="External" /><Relationship Id="rId11" Type="http://schemas.openxmlformats.org/officeDocument/2006/relationships/hyperlink" Target="https://partner.fairtradecertified.org/program-resources/5L3zNiQvfc7BC9GbwE70es" TargetMode="External" /><Relationship Id="rId12" Type="http://schemas.openxmlformats.org/officeDocument/2006/relationships/hyperlink" Target="http://javascript:void(0)" TargetMode="External" /><Relationship Id="rId13" Type="http://schemas.openxmlformats.org/officeDocument/2006/relationships/image" Target="media/image7.png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Celena Foglia</dc:creator>
  <cp:lastModifiedBy>Nichol Weisbecker</cp:lastModifiedBy>
  <cp:revision>2</cp:revision>
  <dcterms:created xsi:type="dcterms:W3CDTF">2024-05-20T13:43:00Z</dcterms:created>
  <dcterms:modified xsi:type="dcterms:W3CDTF">2024-05-20T13:43:00Z</dcterms:modified>
</cp:coreProperties>
</file>