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5.0 -->
  <w:body>
    <w:p w:rsidR="008D00AD" w:rsidRPr="007A4569" w:rsidP="33347CA8" w14:paraId="45749891" w14:textId="7B1BE45A">
      <w:pPr>
        <w:rPr>
          <w:rFonts w:ascii="Georgia" w:hAnsi="Georgia"/>
          <w:b/>
          <w:bCs/>
          <w:color w:val="1F4E79" w:themeColor="accent5" w:themeShade="80"/>
          <w:sz w:val="48"/>
          <w:szCs w:val="48"/>
        </w:rPr>
      </w:pPr>
      <w:r w:rsidRPr="007A4569">
        <w:rPr>
          <w:rFonts w:ascii="Georgia" w:hAnsi="Georgia"/>
          <w:b/>
          <w:bCs/>
          <w:color w:val="1F4E79" w:themeColor="accent5" w:themeShade="80"/>
          <w:sz w:val="48"/>
          <w:szCs w:val="48"/>
        </w:rPr>
        <w:t>Transición de Excel a ChainPoint: Diferencias clave; APS</w:t>
      </w:r>
      <w:r w:rsidR="005E2A61">
        <w:rPr>
          <w:noProof/>
        </w:rPr>
        <w:drawing>
          <wp:anchor distT="0" distB="0" distL="114300" distR="114300" simplePos="0" relativeHeight="251658240" behindDoc="0" locked="0" layoutInCell="1" allowOverlap="1">
            <wp:simplePos x="0" y="0"/>
            <wp:positionH relativeFrom="page">
              <wp:posOffset>5815964</wp:posOffset>
            </wp:positionH>
            <wp:positionV relativeFrom="page">
              <wp:posOffset>389255</wp:posOffset>
            </wp:positionV>
            <wp:extent cx="592455" cy="811530"/>
            <wp:effectExtent l="0" t="0" r="4445" b="1270"/>
            <wp:wrapSquare wrapText="bothSides"/>
            <wp:docPr id="859077800" name="Picture 7" descr="A sign with a person in a p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077800" name="Picture 7"/>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13406" r="13406"/>
                    <a:stretch>
                      <a:fillRect/>
                    </a:stretch>
                  </pic:blipFill>
                  <pic:spPr bwMode="auto">
                    <a:xfrm>
                      <a:off x="0" y="0"/>
                      <a:ext cx="592455" cy="81153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D00AD" w:rsidRPr="007A4569" w:rsidP="33347CA8" w14:paraId="28B5AE8B" w14:textId="7C299AB3">
      <w:pPr>
        <w:rPr>
          <w:rFonts w:ascii="Arial" w:hAnsi="Arial" w:cs="Arial"/>
          <w:color w:val="000000" w:themeColor="text1"/>
        </w:rPr>
      </w:pPr>
    </w:p>
    <w:p w:rsidR="00850EF5" w:rsidRPr="00E84998" w:rsidP="33347CA8" w14:paraId="6E8CEA27" w14:textId="7B549964">
      <w:pPr>
        <w:rPr>
          <w:rFonts w:ascii="Arial" w:hAnsi="Arial" w:cs="Arial"/>
          <w:color w:val="000000" w:themeColor="text1"/>
        </w:rPr>
      </w:pPr>
      <w:r>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-1</wp:posOffset>
                </wp:positionH>
                <wp:positionV relativeFrom="paragraph">
                  <wp:posOffset>58371</wp:posOffset>
                </wp:positionV>
                <wp:extent cx="6412963" cy="0"/>
                <wp:effectExtent l="0" t="0" r="13335" b="12700"/>
                <wp:wrapNone/>
                <wp:docPr id="1266132294" name="Straight Connector 8"/>
                <wp:cNvGraphicFramePr/>
                <a:graphic xmlns:a="http://schemas.openxmlformats.org/drawingml/2006/main">
                  <a:graphicData uri="http://schemas.microsoft.com/office/word/2010/wordprocessingShape">
                    <wps:wsp xmlns:wps="http://schemas.microsoft.com/office/word/2010/wordprocessingShape">
                      <wps:cNvCnPr/>
                      <wps:spPr>
                        <a:xfrm>
                          <a:off x="0" y="0"/>
                          <a:ext cx="641296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5" style="mso-wrap-distance-bottom:0;mso-wrap-distance-left:9pt;mso-wrap-distance-right:9pt;mso-wrap-distance-top:0;mso-wrap-style:square;position:absolute;visibility:visible;z-index:251660288" from="0,4.6pt" to="504.95pt,4.6pt" strokecolor="#4472c4" strokeweight="0.5pt">
                <v:stroke joinstyle="miter"/>
              </v:line>
            </w:pict>
          </mc:Fallback>
        </mc:AlternateContent>
      </w:r>
    </w:p>
    <w:p w:rsidR="40852629" w:rsidP="40852629" w14:paraId="15420C8E" w14:textId="3DD97299">
      <w:pPr>
        <w:rPr>
          <w:rFonts w:ascii="Arial" w:hAnsi="Arial" w:cs="Arial"/>
          <w:color w:val="000000" w:themeColor="text1"/>
        </w:rPr>
      </w:pPr>
      <w:r w:rsidRPr="2317366D">
        <w:rPr>
          <w:rFonts w:ascii="Arial" w:hAnsi="Arial" w:cs="Arial"/>
          <w:color w:val="000000" w:themeColor="text1"/>
        </w:rPr>
        <w:t xml:space="preserve">Esta guía ilustra los cambios generales para la transición a la nueva plataforma de aseguramiento, ChainPoint, de la plantilla de auditoría Excel anterior del Estándar de Producción Agrícola (APS). La programación de auditorías y el proceso de alcance, los Términos de Referencia (ToR), la herramienta de auditoría, los reportes de auditoría, y la revisión y cierre de no cumplimiento (NC) se gestionan ahora a través de la plataforma basada en la web y la aplicación fuera de línea de ChainPoint, lo que aumenta la eficiencia, la precisión y la colaboración al consolidar toda la documentación relacionada con la auditoría en una sola plataforma y reducir los procesos basados en el correo electrónico. </w:t>
      </w:r>
    </w:p>
    <w:p w:rsidR="00E135B3" w14:paraId="631BBE50" w14:textId="77777777">
      <w:pPr>
        <w:rPr>
          <w:rFonts w:ascii="Arial" w:hAnsi="Arial" w:cs="Arial"/>
          <w:color w:val="1F3864" w:themeColor="accent1" w:themeShade="80"/>
        </w:rPr>
      </w:pPr>
    </w:p>
    <w:p w:rsidR="5FC1D7DE" w:rsidP="5FC1D7DE" w14:paraId="0D26E269" w14:textId="4915EF26">
      <w:pPr>
        <w:rPr>
          <w:rFonts w:ascii="Arial" w:hAnsi="Arial" w:cs="Arial"/>
          <w:color w:val="1F3864" w:themeColor="accent1" w:themeShade="80"/>
        </w:rPr>
      </w:pPr>
    </w:p>
    <w:p w:rsidR="00D3517E" w:rsidRPr="00D3517E" w:rsidP="40852629" w14:paraId="77501808" w14:textId="1DA13D72">
      <w:pPr>
        <w:spacing w:line="259" w:lineRule="auto"/>
      </w:pPr>
      <w:r w:rsidRPr="341B2C9E">
        <w:rPr>
          <w:rFonts w:ascii="Arial" w:hAnsi="Arial" w:cs="Arial"/>
          <w:b/>
          <w:bCs/>
          <w:color w:val="1F4E79" w:themeColor="accent5" w:themeShade="80"/>
          <w:sz w:val="28"/>
          <w:szCs w:val="28"/>
        </w:rPr>
        <w:t>Público</w:t>
      </w:r>
    </w:p>
    <w:p w:rsidR="341B2C9E" w:rsidP="5FC1D7DE" w14:paraId="1F270356" w14:textId="2E750D73">
      <w:pPr>
        <w:spacing w:line="259" w:lineRule="auto"/>
        <w:rPr>
          <w:rFonts w:ascii="Arial" w:hAnsi="Arial" w:cs="Arial"/>
          <w:b/>
          <w:bCs/>
          <w:color w:val="1F4E79" w:themeColor="accent5" w:themeShade="80"/>
        </w:rPr>
      </w:pPr>
    </w:p>
    <w:p w:rsidR="00D3517E" w:rsidRPr="00D3517E" w:rsidP="40852629" w14:paraId="6E0DD752" w14:textId="00DF12B2">
      <w:pPr>
        <w:rPr>
          <w:rFonts w:ascii="Arial" w:hAnsi="Arial" w:cs="Arial"/>
          <w:color w:val="000000" w:themeColor="text1"/>
        </w:rPr>
      </w:pPr>
      <w:r w:rsidRPr="5FC1D7DE">
        <w:rPr>
          <w:rFonts w:ascii="Arial" w:hAnsi="Arial" w:cs="Arial"/>
          <w:color w:val="000000" w:themeColor="text1"/>
        </w:rPr>
        <w:t>Esta guía está pensada para ser un recurso para los Organismos de Certificación de Aseguramiento (CAB) que realizan auditorías según el APS.</w:t>
      </w:r>
    </w:p>
    <w:p w:rsidR="5FC1D7DE" w:rsidP="22A05D3F" w14:paraId="519125F7" w14:textId="58D72D2A">
      <w:pPr>
        <w:spacing w:line="259" w:lineRule="auto"/>
        <w:rPr>
          <w:rFonts w:ascii="Arial" w:hAnsi="Arial" w:cs="Arial"/>
          <w:color w:val="000000" w:themeColor="text1"/>
        </w:rPr>
      </w:pPr>
    </w:p>
    <w:p w:rsidR="495A1AF2" w:rsidP="5FC1D7DE" w14:paraId="6BBF2CD5" w14:textId="49E37468">
      <w:pPr>
        <w:spacing w:line="259" w:lineRule="auto"/>
        <w:rPr>
          <w:rFonts w:ascii="Arial" w:hAnsi="Arial" w:cs="Arial"/>
          <w:b/>
          <w:bCs/>
          <w:color w:val="1F4E79" w:themeColor="accent5" w:themeShade="80"/>
        </w:rPr>
      </w:pPr>
    </w:p>
    <w:p w:rsidR="495A1AF2" w:rsidP="495A1AF2" w14:paraId="6CD4657A" w14:textId="6314764A">
      <w:pPr>
        <w:spacing w:line="259" w:lineRule="auto"/>
      </w:pPr>
      <w:r w:rsidRPr="05B14ABB">
        <w:rPr>
          <w:rFonts w:ascii="Arial" w:hAnsi="Arial" w:cs="Arial"/>
          <w:b/>
          <w:bCs/>
          <w:color w:val="1F4E79" w:themeColor="accent5" w:themeShade="80"/>
          <w:sz w:val="28"/>
          <w:szCs w:val="28"/>
        </w:rPr>
        <w:t>Términos de referencia (TdR)</w:t>
      </w:r>
    </w:p>
    <w:p w:rsidR="495A1AF2" w:rsidP="495A1AF2" w14:paraId="6776A65C" w14:textId="44A5F9CB">
      <w:pPr>
        <w:rPr>
          <w:rFonts w:ascii="Arial" w:hAnsi="Arial" w:cs="Arial"/>
        </w:rPr>
      </w:pPr>
    </w:p>
    <w:p w:rsidR="495A1AF2" w:rsidP="0BBC2D06" w14:paraId="465C4484" w14:textId="25C0AD9B">
      <w:pPr>
        <w:spacing w:line="259" w:lineRule="auto"/>
        <w:rPr>
          <w:rFonts w:ascii="Arial" w:hAnsi="Arial" w:cs="Arial"/>
        </w:rPr>
      </w:pPr>
      <w:r w:rsidRPr="2317366D">
        <w:rPr>
          <w:rFonts w:ascii="Arial" w:hAnsi="Arial" w:cs="Arial"/>
        </w:rPr>
        <w:t xml:space="preserve">El contenido de los ToR continúa incluyendo información para auditores sobre áreas de riesgo e instrucciones específicas de auditoría. Las siguientes secciones están incluidas en los ToR: </w:t>
      </w:r>
    </w:p>
    <w:p w:rsidR="2317366D" w:rsidP="2317366D" w14:paraId="1BD683D2" w14:textId="1C7A4A77">
      <w:pPr>
        <w:spacing w:line="259" w:lineRule="auto"/>
        <w:rPr>
          <w:rFonts w:ascii="Arial" w:hAnsi="Arial" w:cs="Arial"/>
        </w:rPr>
      </w:pPr>
    </w:p>
    <w:tbl>
      <w:tblPr>
        <w:tblStyle w:val="GridTableLight"/>
        <w:tblW w:w="0" w:type="auto"/>
        <w:tblBorders>
          <w:top w:val="single" w:sz="6" w:space="0" w:color="auto"/>
          <w:left w:val="single" w:sz="6" w:space="0" w:color="auto"/>
          <w:bottom w:val="single" w:sz="6" w:space="0" w:color="auto"/>
          <w:right w:val="single" w:sz="6" w:space="0" w:color="auto"/>
        </w:tblBorders>
        <w:tblLayout w:type="fixed"/>
        <w:tblLook w:val="04A0"/>
      </w:tblPr>
      <w:tblGrid>
        <w:gridCol w:w="3870"/>
        <w:gridCol w:w="5205"/>
      </w:tblGrid>
      <w:tr w14:paraId="69DE85DD" w14:textId="77777777" w:rsidTr="2317366D">
        <w:tblPrEx>
          <w:tblW w:w="0" w:type="auto"/>
          <w:tblBorders>
            <w:top w:val="single" w:sz="6" w:space="0" w:color="auto"/>
            <w:left w:val="single" w:sz="6" w:space="0" w:color="auto"/>
            <w:bottom w:val="single" w:sz="6" w:space="0" w:color="auto"/>
            <w:right w:val="single" w:sz="6" w:space="0" w:color="auto"/>
          </w:tblBorders>
          <w:tblLayout w:type="fixed"/>
          <w:tblLook w:val="04A0"/>
        </w:tblPrEx>
        <w:trPr>
          <w:trHeight w:val="420"/>
        </w:trPr>
        <w:tc>
          <w:tcPr>
            <w:tcW w:w="3870" w:type="dxa"/>
            <w:tcMar>
              <w:left w:w="105" w:type="dxa"/>
              <w:right w:w="105" w:type="dxa"/>
            </w:tcMar>
            <w:vAlign w:val="center"/>
          </w:tcPr>
          <w:p w:rsidR="2317366D" w:rsidP="2317366D" w14:paraId="006C99C6" w14:textId="33897057">
            <w:pPr>
              <w:rPr>
                <w:rFonts w:ascii="Arial" w:eastAsia="Arial" w:hAnsi="Arial" w:cs="Arial"/>
                <w:color w:val="000000" w:themeColor="text1"/>
              </w:rPr>
            </w:pPr>
            <w:r w:rsidRPr="2317366D">
              <w:rPr>
                <w:rFonts w:ascii="Arial" w:eastAsia="Arial" w:hAnsi="Arial" w:cs="Arial"/>
                <w:b/>
                <w:bCs/>
                <w:color w:val="000000" w:themeColor="text1"/>
              </w:rPr>
              <w:t>Sección</w:t>
            </w:r>
          </w:p>
        </w:tc>
        <w:tc>
          <w:tcPr>
            <w:tcW w:w="5205" w:type="dxa"/>
            <w:tcMar>
              <w:left w:w="105" w:type="dxa"/>
              <w:right w:w="105" w:type="dxa"/>
            </w:tcMar>
            <w:vAlign w:val="center"/>
          </w:tcPr>
          <w:p w:rsidR="2317366D" w:rsidP="2317366D" w14:paraId="22308D08" w14:textId="01468E45">
            <w:pPr>
              <w:rPr>
                <w:rFonts w:ascii="Arial" w:eastAsia="Arial" w:hAnsi="Arial" w:cs="Arial"/>
                <w:color w:val="000000" w:themeColor="text1"/>
              </w:rPr>
            </w:pPr>
            <w:r w:rsidRPr="2317366D">
              <w:rPr>
                <w:rFonts w:ascii="Arial" w:eastAsia="Arial" w:hAnsi="Arial" w:cs="Arial"/>
                <w:b/>
                <w:bCs/>
                <w:color w:val="000000" w:themeColor="text1"/>
              </w:rPr>
              <w:t>Intención</w:t>
            </w:r>
          </w:p>
        </w:tc>
      </w:tr>
      <w:tr w14:paraId="089325F1" w14:textId="77777777" w:rsidTr="2317366D">
        <w:tblPrEx>
          <w:tblW w:w="0" w:type="auto"/>
          <w:tblLayout w:type="fixed"/>
          <w:tblLook w:val="04A0"/>
        </w:tblPrEx>
        <w:trPr>
          <w:trHeight w:val="420"/>
        </w:trPr>
        <w:tc>
          <w:tcPr>
            <w:tcW w:w="3870" w:type="dxa"/>
            <w:tcMar>
              <w:left w:w="105" w:type="dxa"/>
              <w:right w:w="105" w:type="dxa"/>
            </w:tcMar>
            <w:vAlign w:val="center"/>
          </w:tcPr>
          <w:p w:rsidR="2317366D" w:rsidP="2317366D" w14:paraId="10D570AE" w14:textId="0431A800">
            <w:pPr>
              <w:rPr>
                <w:rFonts w:ascii="Arial" w:eastAsia="Arial" w:hAnsi="Arial" w:cs="Arial"/>
                <w:color w:val="000000" w:themeColor="text1"/>
              </w:rPr>
            </w:pPr>
            <w:r w:rsidRPr="2317366D">
              <w:rPr>
                <w:rFonts w:ascii="Arial" w:eastAsia="Arial" w:hAnsi="Arial" w:cs="Arial"/>
                <w:color w:val="000000" w:themeColor="text1"/>
              </w:rPr>
              <w:t>Historial del estado de la certificación</w:t>
            </w:r>
          </w:p>
        </w:tc>
        <w:tc>
          <w:tcPr>
            <w:tcW w:w="5205" w:type="dxa"/>
            <w:tcMar>
              <w:left w:w="105" w:type="dxa"/>
              <w:right w:w="105" w:type="dxa"/>
            </w:tcMar>
            <w:vAlign w:val="center"/>
          </w:tcPr>
          <w:p w:rsidR="2317366D" w:rsidP="2317366D" w14:paraId="07395985" w14:textId="0E631716">
            <w:pPr>
              <w:rPr>
                <w:rFonts w:ascii="Arial" w:eastAsia="Arial" w:hAnsi="Arial" w:cs="Arial"/>
                <w:color w:val="000000" w:themeColor="text1"/>
              </w:rPr>
            </w:pPr>
            <w:r w:rsidRPr="2317366D">
              <w:rPr>
                <w:rFonts w:ascii="Arial" w:eastAsia="Arial" w:hAnsi="Arial" w:cs="Arial"/>
                <w:color w:val="000000" w:themeColor="text1"/>
              </w:rPr>
              <w:t>Historial de la certificación FTUSA</w:t>
            </w:r>
          </w:p>
        </w:tc>
      </w:tr>
      <w:tr w14:paraId="5CEB03A0" w14:textId="77777777" w:rsidTr="2317366D">
        <w:tblPrEx>
          <w:tblW w:w="0" w:type="auto"/>
          <w:tblLayout w:type="fixed"/>
          <w:tblLook w:val="04A0"/>
        </w:tblPrEx>
        <w:trPr>
          <w:trHeight w:val="420"/>
        </w:trPr>
        <w:tc>
          <w:tcPr>
            <w:tcW w:w="3870" w:type="dxa"/>
            <w:tcMar>
              <w:left w:w="105" w:type="dxa"/>
              <w:right w:w="105" w:type="dxa"/>
            </w:tcMar>
            <w:vAlign w:val="center"/>
          </w:tcPr>
          <w:p w:rsidR="2317366D" w:rsidP="2317366D" w14:paraId="28BC750C" w14:textId="193C8BD1">
            <w:pPr>
              <w:rPr>
                <w:rFonts w:ascii="Arial" w:eastAsia="Arial" w:hAnsi="Arial" w:cs="Arial"/>
                <w:color w:val="000000" w:themeColor="text1"/>
              </w:rPr>
            </w:pPr>
            <w:r w:rsidRPr="2317366D">
              <w:rPr>
                <w:rFonts w:ascii="Arial" w:eastAsia="Arial" w:hAnsi="Arial" w:cs="Arial"/>
                <w:color w:val="000000" w:themeColor="text1"/>
              </w:rPr>
              <w:t>Contexto nacional</w:t>
            </w:r>
          </w:p>
        </w:tc>
        <w:tc>
          <w:tcPr>
            <w:tcW w:w="5205" w:type="dxa"/>
            <w:tcMar>
              <w:left w:w="105" w:type="dxa"/>
              <w:right w:w="105" w:type="dxa"/>
            </w:tcMar>
            <w:vAlign w:val="center"/>
          </w:tcPr>
          <w:p w:rsidR="2317366D" w:rsidP="2317366D" w14:paraId="50141A22" w14:textId="7AD6D043">
            <w:pPr>
              <w:rPr>
                <w:rFonts w:ascii="Arial" w:eastAsia="Arial" w:hAnsi="Arial" w:cs="Arial"/>
                <w:color w:val="000000" w:themeColor="text1"/>
              </w:rPr>
            </w:pPr>
            <w:r w:rsidRPr="2317366D">
              <w:rPr>
                <w:rFonts w:ascii="Arial" w:eastAsia="Arial" w:hAnsi="Arial" w:cs="Arial"/>
                <w:color w:val="000000" w:themeColor="text1"/>
              </w:rPr>
              <w:t>Contexto sociológico y político específico de la ubicación geográfica del CH</w:t>
            </w:r>
          </w:p>
        </w:tc>
      </w:tr>
      <w:tr w14:paraId="6ACD2216" w14:textId="77777777" w:rsidTr="2317366D">
        <w:tblPrEx>
          <w:tblW w:w="0" w:type="auto"/>
          <w:tblLayout w:type="fixed"/>
          <w:tblLook w:val="04A0"/>
        </w:tblPrEx>
        <w:trPr>
          <w:trHeight w:val="420"/>
        </w:trPr>
        <w:tc>
          <w:tcPr>
            <w:tcW w:w="3870" w:type="dxa"/>
            <w:tcMar>
              <w:left w:w="105" w:type="dxa"/>
              <w:right w:w="105" w:type="dxa"/>
            </w:tcMar>
            <w:vAlign w:val="center"/>
          </w:tcPr>
          <w:p w:rsidR="2317366D" w:rsidP="2317366D" w14:paraId="64E52A30" w14:textId="4F611ABA">
            <w:pPr>
              <w:rPr>
                <w:rFonts w:ascii="Arial" w:eastAsia="Arial" w:hAnsi="Arial" w:cs="Arial"/>
                <w:color w:val="000000" w:themeColor="text1"/>
              </w:rPr>
            </w:pPr>
            <w:r w:rsidRPr="2317366D">
              <w:rPr>
                <w:rFonts w:ascii="Arial" w:eastAsia="Arial" w:hAnsi="Arial" w:cs="Arial"/>
                <w:color w:val="000000" w:themeColor="text1"/>
              </w:rPr>
              <w:t>Contexto adicional del alcance del certificado</w:t>
            </w:r>
          </w:p>
        </w:tc>
        <w:tc>
          <w:tcPr>
            <w:tcW w:w="5205" w:type="dxa"/>
            <w:tcMar>
              <w:left w:w="105" w:type="dxa"/>
              <w:right w:w="105" w:type="dxa"/>
            </w:tcMar>
            <w:vAlign w:val="center"/>
          </w:tcPr>
          <w:p w:rsidR="2317366D" w:rsidP="2317366D" w14:paraId="16072ADE" w14:textId="345E9DBE">
            <w:pPr>
              <w:rPr>
                <w:rFonts w:ascii="Arial" w:eastAsia="Arial" w:hAnsi="Arial" w:cs="Arial"/>
                <w:color w:val="000000" w:themeColor="text1"/>
              </w:rPr>
            </w:pPr>
            <w:r w:rsidRPr="2317366D">
              <w:rPr>
                <w:rFonts w:ascii="Arial" w:eastAsia="Arial" w:hAnsi="Arial" w:cs="Arial"/>
                <w:color w:val="000000" w:themeColor="text1"/>
              </w:rPr>
              <w:t>Información relevante sobre el alcance, incluyendo entidad de alcance múltiple (MSE) y cambios recientes en el alcance</w:t>
            </w:r>
          </w:p>
        </w:tc>
      </w:tr>
      <w:tr w14:paraId="09D8E568" w14:textId="77777777" w:rsidTr="2317366D">
        <w:tblPrEx>
          <w:tblW w:w="0" w:type="auto"/>
          <w:tblLayout w:type="fixed"/>
          <w:tblLook w:val="04A0"/>
        </w:tblPrEx>
        <w:trPr>
          <w:trHeight w:val="420"/>
        </w:trPr>
        <w:tc>
          <w:tcPr>
            <w:tcW w:w="3870" w:type="dxa"/>
            <w:tcMar>
              <w:left w:w="105" w:type="dxa"/>
              <w:right w:w="105" w:type="dxa"/>
            </w:tcMar>
            <w:vAlign w:val="center"/>
          </w:tcPr>
          <w:p w:rsidR="2317366D" w:rsidP="2317366D" w14:paraId="02151115" w14:textId="0E80146C">
            <w:pPr>
              <w:rPr>
                <w:rFonts w:ascii="Arial" w:eastAsia="Arial" w:hAnsi="Arial" w:cs="Arial"/>
                <w:color w:val="000000" w:themeColor="text1"/>
              </w:rPr>
            </w:pPr>
            <w:r w:rsidRPr="2317366D">
              <w:rPr>
                <w:rFonts w:ascii="Arial" w:eastAsia="Arial" w:hAnsi="Arial" w:cs="Arial"/>
                <w:color w:val="000000" w:themeColor="text1"/>
              </w:rPr>
              <w:t>Casos de aseguramiento</w:t>
            </w:r>
          </w:p>
        </w:tc>
        <w:tc>
          <w:tcPr>
            <w:tcW w:w="5205" w:type="dxa"/>
            <w:tcMar>
              <w:left w:w="105" w:type="dxa"/>
              <w:right w:w="105" w:type="dxa"/>
            </w:tcMar>
            <w:vAlign w:val="center"/>
          </w:tcPr>
          <w:p w:rsidR="2317366D" w:rsidP="2317366D" w14:paraId="1C8D10AD" w14:textId="355E9B4F">
            <w:pPr>
              <w:rPr>
                <w:rFonts w:ascii="Arial" w:eastAsia="Arial" w:hAnsi="Arial" w:cs="Arial"/>
                <w:color w:val="000000" w:themeColor="text1"/>
              </w:rPr>
            </w:pPr>
            <w:r w:rsidRPr="2317366D">
              <w:rPr>
                <w:rFonts w:ascii="Arial" w:eastAsia="Arial" w:hAnsi="Arial" w:cs="Arial"/>
                <w:color w:val="000000" w:themeColor="text1"/>
              </w:rPr>
              <w:t>Alegaciones, quejas, excepciones o incidentes revisados</w:t>
            </w:r>
          </w:p>
        </w:tc>
      </w:tr>
      <w:tr w14:paraId="17E7B044" w14:textId="77777777" w:rsidTr="2317366D">
        <w:tblPrEx>
          <w:tblW w:w="0" w:type="auto"/>
          <w:tblLayout w:type="fixed"/>
          <w:tblLook w:val="04A0"/>
        </w:tblPrEx>
        <w:trPr>
          <w:trHeight w:val="420"/>
        </w:trPr>
        <w:tc>
          <w:tcPr>
            <w:tcW w:w="3870" w:type="dxa"/>
            <w:tcMar>
              <w:left w:w="105" w:type="dxa"/>
              <w:right w:w="105" w:type="dxa"/>
            </w:tcMar>
            <w:vAlign w:val="center"/>
          </w:tcPr>
          <w:p w:rsidR="2317366D" w:rsidP="2317366D" w14:paraId="46433F32" w14:textId="5CAF82B6">
            <w:pPr>
              <w:rPr>
                <w:rFonts w:ascii="Arial" w:eastAsia="Arial" w:hAnsi="Arial" w:cs="Arial"/>
                <w:color w:val="000000" w:themeColor="text1"/>
              </w:rPr>
            </w:pPr>
            <w:r w:rsidRPr="2317366D">
              <w:rPr>
                <w:rFonts w:ascii="Arial" w:eastAsia="Arial" w:hAnsi="Arial" w:cs="Arial"/>
                <w:color w:val="000000" w:themeColor="text1"/>
              </w:rPr>
              <w:t>Tergiversación de criterios/políticas en auditorías anteriores</w:t>
            </w:r>
          </w:p>
        </w:tc>
        <w:tc>
          <w:tcPr>
            <w:tcW w:w="5205" w:type="dxa"/>
            <w:tcMar>
              <w:left w:w="105" w:type="dxa"/>
              <w:right w:w="105" w:type="dxa"/>
            </w:tcMar>
            <w:vAlign w:val="center"/>
          </w:tcPr>
          <w:p w:rsidR="2317366D" w:rsidP="2317366D" w14:paraId="4E708F23" w14:textId="1A9A6A1F">
            <w:pPr>
              <w:rPr>
                <w:rFonts w:ascii="Arial" w:eastAsia="Arial" w:hAnsi="Arial" w:cs="Arial"/>
                <w:color w:val="000000" w:themeColor="text1"/>
              </w:rPr>
            </w:pPr>
            <w:r w:rsidRPr="2317366D">
              <w:rPr>
                <w:rFonts w:ascii="Arial" w:eastAsia="Arial" w:hAnsi="Arial" w:cs="Arial"/>
                <w:color w:val="000000" w:themeColor="text1"/>
              </w:rPr>
              <w:t>Lista de criterios que se evaluaron incorrectamente en auditorías anteriores</w:t>
            </w:r>
          </w:p>
        </w:tc>
      </w:tr>
      <w:tr w14:paraId="4CDD0F64" w14:textId="77777777" w:rsidTr="2317366D">
        <w:tblPrEx>
          <w:tblW w:w="0" w:type="auto"/>
          <w:tblLayout w:type="fixed"/>
          <w:tblLook w:val="04A0"/>
        </w:tblPrEx>
        <w:trPr>
          <w:trHeight w:val="420"/>
        </w:trPr>
        <w:tc>
          <w:tcPr>
            <w:tcW w:w="3870" w:type="dxa"/>
            <w:tcMar>
              <w:left w:w="105" w:type="dxa"/>
              <w:right w:w="105" w:type="dxa"/>
            </w:tcMar>
            <w:vAlign w:val="center"/>
          </w:tcPr>
          <w:p w:rsidR="2317366D" w:rsidP="2317366D" w14:paraId="386CAF95" w14:textId="4CF3637B">
            <w:pPr>
              <w:rPr>
                <w:rFonts w:ascii="Arial" w:eastAsia="Arial" w:hAnsi="Arial" w:cs="Arial"/>
                <w:color w:val="000000" w:themeColor="text1"/>
              </w:rPr>
            </w:pPr>
            <w:r w:rsidRPr="2317366D">
              <w:rPr>
                <w:rFonts w:ascii="Arial" w:eastAsia="Arial" w:hAnsi="Arial" w:cs="Arial"/>
                <w:color w:val="000000" w:themeColor="text1"/>
              </w:rPr>
              <w:t>Transacción no notificadas</w:t>
            </w:r>
          </w:p>
        </w:tc>
        <w:tc>
          <w:tcPr>
            <w:tcW w:w="5205" w:type="dxa"/>
            <w:tcMar>
              <w:left w:w="105" w:type="dxa"/>
              <w:right w:w="105" w:type="dxa"/>
            </w:tcMar>
            <w:vAlign w:val="center"/>
          </w:tcPr>
          <w:p w:rsidR="2317366D" w:rsidP="2317366D" w14:paraId="7285B883" w14:textId="74851215">
            <w:pPr>
              <w:rPr>
                <w:rFonts w:ascii="Arial" w:eastAsia="Arial" w:hAnsi="Arial" w:cs="Arial"/>
                <w:color w:val="000000" w:themeColor="text1"/>
              </w:rPr>
            </w:pPr>
            <w:r w:rsidRPr="2317366D">
              <w:rPr>
                <w:rFonts w:ascii="Arial" w:eastAsia="Arial" w:hAnsi="Arial" w:cs="Arial"/>
                <w:color w:val="000000" w:themeColor="text1"/>
              </w:rPr>
              <w:t>Lista de informes requeridos no presentados por el CH</w:t>
            </w:r>
          </w:p>
        </w:tc>
      </w:tr>
      <w:tr w14:paraId="0AC5D1A4" w14:textId="77777777" w:rsidTr="2317366D">
        <w:tblPrEx>
          <w:tblW w:w="0" w:type="auto"/>
          <w:tblLayout w:type="fixed"/>
          <w:tblLook w:val="04A0"/>
        </w:tblPrEx>
        <w:trPr>
          <w:trHeight w:val="420"/>
        </w:trPr>
        <w:tc>
          <w:tcPr>
            <w:tcW w:w="3870" w:type="dxa"/>
            <w:tcMar>
              <w:left w:w="105" w:type="dxa"/>
              <w:right w:w="105" w:type="dxa"/>
            </w:tcMar>
            <w:vAlign w:val="center"/>
          </w:tcPr>
          <w:p w:rsidR="2317366D" w:rsidP="2317366D" w14:paraId="60422592" w14:textId="33FD7349">
            <w:pPr>
              <w:rPr>
                <w:rFonts w:ascii="Arial" w:eastAsia="Arial" w:hAnsi="Arial" w:cs="Arial"/>
                <w:color w:val="000000" w:themeColor="text1"/>
              </w:rPr>
            </w:pPr>
            <w:r w:rsidRPr="2317366D">
              <w:rPr>
                <w:rFonts w:ascii="Arial" w:eastAsia="Arial" w:hAnsi="Arial" w:cs="Arial"/>
                <w:color w:val="000000" w:themeColor="text1"/>
              </w:rPr>
              <w:t>Discrepancias en los informes de transacciones</w:t>
            </w:r>
          </w:p>
        </w:tc>
        <w:tc>
          <w:tcPr>
            <w:tcW w:w="5205" w:type="dxa"/>
            <w:tcMar>
              <w:left w:w="105" w:type="dxa"/>
              <w:right w:w="105" w:type="dxa"/>
            </w:tcMar>
            <w:vAlign w:val="center"/>
          </w:tcPr>
          <w:p w:rsidR="2317366D" w:rsidP="2317366D" w14:paraId="025E7568" w14:textId="796DDD1D">
            <w:pPr>
              <w:rPr>
                <w:rFonts w:ascii="Arial" w:eastAsia="Arial" w:hAnsi="Arial" w:cs="Arial"/>
                <w:color w:val="000000" w:themeColor="text1"/>
              </w:rPr>
            </w:pPr>
            <w:r w:rsidRPr="2317366D">
              <w:rPr>
                <w:rFonts w:ascii="Arial" w:eastAsia="Arial" w:hAnsi="Arial" w:cs="Arial"/>
                <w:color w:val="000000" w:themeColor="text1"/>
              </w:rPr>
              <w:t>Problemas identificados en los informes de transacciones enviados por el CH</w:t>
            </w:r>
          </w:p>
        </w:tc>
      </w:tr>
    </w:tbl>
    <w:p w:rsidR="2317366D" w:rsidP="2317366D" w14:paraId="44404EFD" w14:textId="3C346C47">
      <w:pPr>
        <w:spacing w:line="259" w:lineRule="auto"/>
        <w:rPr>
          <w:rFonts w:ascii="Arial" w:hAnsi="Arial" w:cs="Arial"/>
        </w:rPr>
      </w:pPr>
    </w:p>
    <w:p w:rsidR="495A1AF2" w:rsidP="495A1AF2" w14:paraId="47E47CE9" w14:textId="008A2D0F">
      <w:pPr>
        <w:rPr>
          <w:rFonts w:ascii="Arial" w:hAnsi="Arial" w:cs="Arial"/>
        </w:rPr>
      </w:pPr>
    </w:p>
    <w:p w:rsidR="495A1AF2" w:rsidP="0BBC2D06" w14:paraId="05E41795" w14:textId="4E462582">
      <w:pPr>
        <w:rPr>
          <w:rFonts w:ascii="Arial" w:hAnsi="Arial" w:cs="Arial"/>
        </w:rPr>
      </w:pPr>
      <w:r w:rsidRPr="2317366D">
        <w:rPr>
          <w:rFonts w:ascii="Arial" w:hAnsi="Arial" w:cs="Arial"/>
        </w:rPr>
        <w:t xml:space="preserve">Con este nuevo flujo de trabajo, cuando se genera un ToR, ahora está disponible para el auditor como un archivo PDF vinculado a través de la portada de auditoría en ChainPoint. (Anteriormente, se compartía como un archivo Excel independiente de la herramienta de auditoría). </w:t>
      </w:r>
    </w:p>
    <w:p w:rsidR="495A1AF2" w:rsidP="0BBC2D06" w14:paraId="1AAC988B" w14:textId="21B19AF0">
      <w:pPr>
        <w:rPr>
          <w:rFonts w:ascii="Arial" w:hAnsi="Arial" w:cs="Arial"/>
        </w:rPr>
      </w:pPr>
    </w:p>
    <w:p w:rsidR="495A1AF2" w:rsidP="0BBC2D06" w14:paraId="227F89DC" w14:textId="62D6D165">
      <w:pPr>
        <w:rPr>
          <w:rFonts w:ascii="Arial" w:hAnsi="Arial" w:cs="Arial"/>
        </w:rPr>
      </w:pPr>
      <w:r w:rsidRPr="2317366D">
        <w:rPr>
          <w:rFonts w:ascii="Arial" w:hAnsi="Arial" w:cs="Arial"/>
        </w:rPr>
        <w:t>Notas:</w:t>
      </w:r>
    </w:p>
    <w:p w:rsidR="495A1AF2" w:rsidP="2317366D" w14:paraId="5068D038" w14:textId="3EA7F794">
      <w:pPr>
        <w:pStyle w:val="ListParagraph"/>
        <w:numPr>
          <w:ilvl w:val="0"/>
          <w:numId w:val="3"/>
        </w:numPr>
        <w:rPr>
          <w:rFonts w:ascii="Arial" w:eastAsia="Arial" w:hAnsi="Arial" w:cs="Arial"/>
          <w:color w:val="000000" w:themeColor="text1"/>
        </w:rPr>
      </w:pPr>
      <w:r w:rsidRPr="2317366D">
        <w:rPr>
          <w:rFonts w:ascii="Arial" w:hAnsi="Arial" w:cs="Arial"/>
        </w:rPr>
        <w:t>No es necesario solicitar los ToR con antelación.</w:t>
      </w:r>
    </w:p>
    <w:p w:rsidR="495A1AF2" w:rsidP="2317366D" w14:paraId="7B8D5D31" w14:textId="2980E1E1">
      <w:pPr>
        <w:pStyle w:val="ListParagraph"/>
        <w:numPr>
          <w:ilvl w:val="0"/>
          <w:numId w:val="3"/>
        </w:numPr>
        <w:rPr>
          <w:rFonts w:ascii="Arial" w:hAnsi="Arial" w:cs="Arial"/>
        </w:rPr>
      </w:pPr>
      <w:r w:rsidRPr="2317366D">
        <w:rPr>
          <w:rFonts w:ascii="Arial" w:eastAsia="Arial" w:hAnsi="Arial" w:cs="Arial"/>
          <w:color w:val="000000" w:themeColor="text1"/>
        </w:rPr>
        <w:t xml:space="preserve">El CAB recibirá una notificación por correo electrónico cuando se genere un ToR y la auditoría se asigne al auditor principal. </w:t>
      </w:r>
    </w:p>
    <w:p w:rsidR="495A1AF2" w:rsidP="2317366D" w14:paraId="22459DF1" w14:textId="38C70486">
      <w:pPr>
        <w:pStyle w:val="ListParagraph"/>
        <w:numPr>
          <w:ilvl w:val="0"/>
          <w:numId w:val="3"/>
        </w:numPr>
        <w:rPr>
          <w:rFonts w:ascii="Arial" w:hAnsi="Arial" w:cs="Arial"/>
        </w:rPr>
      </w:pPr>
      <w:r w:rsidRPr="2317366D">
        <w:rPr>
          <w:rFonts w:ascii="Arial" w:hAnsi="Arial" w:cs="Arial"/>
        </w:rPr>
        <w:t xml:space="preserve">Cada auditoría incluirá un ToR. </w:t>
      </w:r>
    </w:p>
    <w:p w:rsidR="495A1AF2" w:rsidP="2317366D" w14:paraId="32BD7CD0" w14:textId="18A360AE">
      <w:pPr>
        <w:pStyle w:val="ListParagraph"/>
        <w:numPr>
          <w:ilvl w:val="0"/>
          <w:numId w:val="3"/>
        </w:numPr>
        <w:rPr>
          <w:rFonts w:ascii="Arial" w:hAnsi="Arial" w:cs="Arial"/>
        </w:rPr>
      </w:pPr>
      <w:r w:rsidRPr="2317366D">
        <w:rPr>
          <w:rFonts w:ascii="Arial" w:hAnsi="Arial" w:cs="Arial"/>
        </w:rPr>
        <w:t xml:space="preserve">El ToR es un archivo PDF disponible para su descarga en la portada de la auditoría. </w:t>
      </w:r>
    </w:p>
    <w:p w:rsidR="495A1AF2" w:rsidP="2317366D" w14:paraId="39982AD3" w14:textId="7F132DC7">
      <w:pPr>
        <w:pStyle w:val="ListParagraph"/>
        <w:numPr>
          <w:ilvl w:val="0"/>
          <w:numId w:val="3"/>
        </w:numPr>
        <w:rPr>
          <w:rFonts w:ascii="Arial" w:hAnsi="Arial" w:cs="Arial"/>
        </w:rPr>
      </w:pPr>
      <w:r w:rsidRPr="2317366D">
        <w:rPr>
          <w:rFonts w:ascii="Arial" w:eastAsia="Arial" w:hAnsi="Arial" w:cs="Arial"/>
          <w:color w:val="000000" w:themeColor="text1"/>
        </w:rPr>
        <w:t xml:space="preserve">Cualquier respuesta al ToR debe ingresarse en las notas de la portada de auditoría. </w:t>
      </w:r>
    </w:p>
    <w:p w:rsidR="495A1AF2" w:rsidP="2317366D" w14:paraId="27F4D186" w14:textId="69FE6F48">
      <w:pPr>
        <w:pStyle w:val="ListParagraph"/>
        <w:numPr>
          <w:ilvl w:val="0"/>
          <w:numId w:val="3"/>
        </w:numPr>
        <w:rPr>
          <w:rFonts w:ascii="Arial" w:hAnsi="Arial" w:cs="Arial"/>
        </w:rPr>
      </w:pPr>
      <w:r w:rsidRPr="2317366D">
        <w:rPr>
          <w:rFonts w:ascii="Arial" w:hAnsi="Arial" w:cs="Arial"/>
        </w:rPr>
        <w:t>Para obtener más información sobre el ToR en ChainPoint, consulte "Explicación de los términos de referencia y Lo que se incluye".</w:t>
      </w:r>
    </w:p>
    <w:p w:rsidR="495A1AF2" w:rsidP="495A1AF2" w14:paraId="0B8274D4" w14:textId="5C203380">
      <w:pPr>
        <w:rPr>
          <w:rFonts w:ascii="Arial" w:hAnsi="Arial" w:cs="Arial"/>
          <w:color w:val="1F3864" w:themeColor="accent1" w:themeShade="80"/>
        </w:rPr>
      </w:pPr>
    </w:p>
    <w:p w:rsidR="5FC1D7DE" w:rsidP="5FC1D7DE" w14:paraId="6B894C4D" w14:textId="4417A3B9">
      <w:pPr>
        <w:rPr>
          <w:rFonts w:ascii="Arial" w:hAnsi="Arial" w:cs="Arial"/>
          <w:color w:val="1F3864" w:themeColor="accent1" w:themeShade="80"/>
        </w:rPr>
      </w:pPr>
    </w:p>
    <w:p w:rsidR="40852629" w:rsidP="40852629" w14:paraId="720A612C" w14:textId="4CC7BD20">
      <w:pPr>
        <w:spacing w:line="259" w:lineRule="auto"/>
      </w:pPr>
      <w:r w:rsidRPr="40852629">
        <w:rPr>
          <w:rFonts w:ascii="Arial" w:hAnsi="Arial" w:cs="Arial"/>
          <w:b/>
          <w:bCs/>
          <w:color w:val="1F4E79" w:themeColor="accent5" w:themeShade="80"/>
          <w:sz w:val="28"/>
          <w:szCs w:val="28"/>
        </w:rPr>
        <w:t>Herramienta de auditoría</w:t>
      </w:r>
    </w:p>
    <w:p w:rsidR="00E135B3" w:rsidRPr="00D80DA4" w14:paraId="6FE11015" w14:textId="77777777">
      <w:pPr>
        <w:rPr>
          <w:rFonts w:ascii="Arial" w:hAnsi="Arial" w:cs="Arial"/>
          <w:b/>
          <w:bCs/>
        </w:rPr>
      </w:pPr>
    </w:p>
    <w:p w:rsidR="495A1AF2" w:rsidP="2317366D" w14:paraId="51B4E45D" w14:textId="5A0800DB">
      <w:pPr>
        <w:rPr>
          <w:rFonts w:ascii="Arial" w:hAnsi="Arial" w:cs="Arial"/>
        </w:rPr>
      </w:pPr>
      <w:r w:rsidRPr="2317366D">
        <w:rPr>
          <w:rFonts w:ascii="Arial" w:eastAsia="Arial" w:hAnsi="Arial" w:cs="Arial"/>
          <w:color w:val="000000" w:themeColor="text1"/>
        </w:rPr>
        <w:t>La lista de verificación de auditoría se generará automáticamente mediante la información que el CAB y los Titulares del Certificad</w:t>
      </w:r>
      <w:r w:rsidRPr="2317366D">
        <w:rPr>
          <w:rFonts w:ascii="Arial" w:eastAsia="Arial" w:hAnsi="Arial" w:cs="Arial"/>
        </w:rPr>
        <w:t xml:space="preserve">o proporcionen </w:t>
      </w:r>
      <w:r w:rsidRPr="2317366D">
        <w:rPr>
          <w:rFonts w:ascii="Arial" w:eastAsia="Arial" w:hAnsi="Arial" w:cs="Arial"/>
          <w:color w:val="000000" w:themeColor="text1"/>
        </w:rPr>
        <w:t xml:space="preserve">en el proceso de programación y determinación del alcance. </w:t>
      </w:r>
      <w:r w:rsidRPr="2317366D">
        <w:rPr>
          <w:rFonts w:ascii="Arial" w:hAnsi="Arial" w:cs="Arial"/>
        </w:rPr>
        <w:t>Los CAB no necesitan solicitar la herramienta de auditoría a Fair Trade USA, ya que está disponible para los auditores tan pronto como se programa la auditoría. Para que el administrador del CAB comparta la herramienta de auditoría con el auditor, se debe asignar un auditor líder en la portada de la auditoría, y el estado del flujo de trabajo de la auditoría debe avanzar a "Programado".</w:t>
      </w:r>
    </w:p>
    <w:p w:rsidR="495A1AF2" w:rsidP="495A1AF2" w14:paraId="52723169" w14:textId="3FEA2FF7">
      <w:pPr>
        <w:rPr>
          <w:rFonts w:ascii="Arial" w:hAnsi="Arial" w:cs="Arial"/>
        </w:rPr>
      </w:pPr>
    </w:p>
    <w:p w:rsidR="495A1AF2" w:rsidP="495A1AF2" w14:paraId="599F0D2E" w14:textId="27071E36">
      <w:pPr>
        <w:rPr>
          <w:rFonts w:ascii="Arial" w:eastAsia="Arial" w:hAnsi="Arial" w:cs="Arial"/>
        </w:rPr>
      </w:pPr>
      <w:r w:rsidRPr="2317366D">
        <w:rPr>
          <w:rFonts w:ascii="Arial" w:hAnsi="Arial" w:cs="Arial"/>
        </w:rPr>
        <w:t xml:space="preserve">La herramienta de auditoría ChainPoint tiene una funcionalidad adicional en la función de recopilación de documentos, lo que permite a los auditores cargar evidencia para cada no cumplimiento directamente en la lista de verificación de auditoría y archivos generales relacionados con la auditoría en la pestaña de documentos e imágenes de auditoría. Los documentos y la información recopilados durante la auditoría estarán disponibles para Fair Trade USA. </w:t>
      </w:r>
      <w:r w:rsidRPr="2317366D">
        <w:rPr>
          <w:rFonts w:ascii="Arial" w:eastAsia="Arial" w:hAnsi="Arial" w:cs="Arial"/>
          <w:color w:val="000000" w:themeColor="text1"/>
        </w:rPr>
        <w:t>Para obtener más información sobre la herramienta de auditoría en ChainPoint, consulte "Cómo realizar una auditoría".</w:t>
      </w:r>
    </w:p>
    <w:p w:rsidR="495A1AF2" w:rsidP="495A1AF2" w14:paraId="4F843BE9" w14:textId="74393D6C">
      <w:pPr>
        <w:rPr>
          <w:rFonts w:ascii="Arial" w:hAnsi="Arial" w:cs="Arial"/>
        </w:rPr>
      </w:pPr>
    </w:p>
    <w:p w:rsidR="5FC1D7DE" w:rsidP="5FC1D7DE" w14:paraId="7191B2CF" w14:textId="4A49E794">
      <w:pPr>
        <w:rPr>
          <w:rFonts w:ascii="Arial" w:hAnsi="Arial" w:cs="Arial"/>
        </w:rPr>
      </w:pPr>
    </w:p>
    <w:p w:rsidR="009117C2" w:rsidP="40852629" w14:paraId="7210CF90" w14:textId="26540581">
      <w:pPr>
        <w:spacing w:line="259" w:lineRule="auto"/>
      </w:pPr>
      <w:r w:rsidRPr="40852629">
        <w:rPr>
          <w:rFonts w:ascii="Arial" w:hAnsi="Arial" w:cs="Arial"/>
          <w:b/>
          <w:bCs/>
          <w:color w:val="1F4E79" w:themeColor="accent5" w:themeShade="80"/>
          <w:sz w:val="28"/>
          <w:szCs w:val="28"/>
        </w:rPr>
        <w:t>Reporte de auditoría</w:t>
      </w:r>
    </w:p>
    <w:p w:rsidR="009117C2" w:rsidP="40852629" w14:paraId="57F0BD38" w14:textId="77777777">
      <w:pPr>
        <w:rPr>
          <w:rFonts w:ascii="Arial" w:hAnsi="Arial" w:cs="Arial"/>
          <w:b/>
          <w:bCs/>
        </w:rPr>
      </w:pPr>
    </w:p>
    <w:p w:rsidR="495A1AF2" w:rsidP="495A1AF2" w14:paraId="6D80239A" w14:textId="5AA79C46">
      <w:pPr>
        <w:spacing w:line="259" w:lineRule="auto"/>
        <w:rPr>
          <w:rFonts w:ascii="Arial" w:eastAsia="Arial" w:hAnsi="Arial" w:cs="Arial"/>
        </w:rPr>
      </w:pPr>
      <w:r w:rsidRPr="2317366D">
        <w:rPr>
          <w:rFonts w:ascii="Arial" w:hAnsi="Arial" w:cs="Arial"/>
        </w:rPr>
        <w:t xml:space="preserve">Los reportes de auditoría preliminares y finales se generan incorporando los resultados registrados en la herramienta de auditoría. Los reportes se crean automáticamente al avanzar en el flujo de trabajo de auditoría a través de diferentes estados, y están disponibles en la portada de auditoría para descargarse como archivos PDF. Los reportes de auditoría están disponibles para Fair Trade USA dentro de ChainPoint y no es necesario cargarlos en Box. </w:t>
      </w:r>
      <w:r w:rsidRPr="2317366D">
        <w:rPr>
          <w:rFonts w:ascii="Arial" w:eastAsia="Arial" w:hAnsi="Arial" w:cs="Arial"/>
          <w:color w:val="000000" w:themeColor="text1"/>
        </w:rPr>
        <w:t>Para obtener más información sobre los reportes de auditoría en ChainPoint, consulte "Cómo finalizar los reportes de auditoría".</w:t>
      </w:r>
    </w:p>
    <w:p w:rsidR="40852629" w:rsidP="40852629" w14:paraId="1554B01D" w14:textId="76664329">
      <w:pPr>
        <w:rPr>
          <w:rFonts w:ascii="Arial" w:hAnsi="Arial" w:cs="Arial"/>
        </w:rPr>
      </w:pPr>
    </w:p>
    <w:p w:rsidR="5FC1D7DE" w:rsidP="5FC1D7DE" w14:paraId="50619484" w14:textId="761073DF">
      <w:pPr>
        <w:rPr>
          <w:rFonts w:ascii="Arial" w:hAnsi="Arial" w:cs="Arial"/>
        </w:rPr>
      </w:pPr>
    </w:p>
    <w:p w:rsidR="40852629" w:rsidP="495A1AF2" w14:paraId="38AAA763" w14:textId="3C13BF59">
      <w:pPr>
        <w:spacing w:line="259" w:lineRule="auto"/>
      </w:pPr>
      <w:r w:rsidRPr="341B2C9E">
        <w:rPr>
          <w:rFonts w:ascii="Arial" w:hAnsi="Arial" w:cs="Arial"/>
          <w:b/>
          <w:bCs/>
          <w:color w:val="1F4E79" w:themeColor="accent5" w:themeShade="80"/>
          <w:sz w:val="28"/>
          <w:szCs w:val="28"/>
        </w:rPr>
        <w:t>Revisión y cierre de NC (formulario de PAC)</w:t>
      </w:r>
    </w:p>
    <w:p w:rsidR="495A1AF2" w:rsidP="495A1AF2" w14:paraId="775DF07E" w14:textId="252E7E82">
      <w:pPr>
        <w:rPr>
          <w:rFonts w:ascii="Arial" w:eastAsia="Arial" w:hAnsi="Arial" w:cs="Arial"/>
          <w:color w:val="1F3864" w:themeColor="accent1" w:themeShade="80"/>
        </w:rPr>
      </w:pPr>
    </w:p>
    <w:p w:rsidR="495A1AF2" w:rsidP="5FC1D7DE" w14:paraId="7B3A5A13" w14:textId="7279CDFF">
      <w:pPr>
        <w:rPr>
          <w:rFonts w:ascii="Arial" w:eastAsia="Arial" w:hAnsi="Arial" w:cs="Arial"/>
          <w:color w:val="000000" w:themeColor="text1"/>
        </w:rPr>
      </w:pPr>
      <w:r w:rsidRPr="2317366D">
        <w:rPr>
          <w:rFonts w:ascii="Arial" w:eastAsia="Arial" w:hAnsi="Arial" w:cs="Arial"/>
          <w:color w:val="000000" w:themeColor="text1"/>
        </w:rPr>
        <w:t>El formulario de Revisión y cierre de NC, antes "formulario de PAC", se genera automáticamente y muestra los NC encontrados durante la auditoría. El formulario de Revisión y cierre de NC ahora permite a los CH compartir sus planes de acción correctiva (PAC) y la evidencia de cierre de NC directamente en ChainPoint. Toda la comunicación para la revisión de PAC y NC se realizará dentro de ChainPoint, y ya no requiere que los CH y CAB envíen por correo electrónico formularios o evidencia de PAC. En su lugar, el formulario de Revisión y cierre de NC se pasa entre el CH y el CAB a través de las actualizaciones de estado en ChainPoint (Revisión del CH, Revisión del CAB).</w:t>
      </w:r>
    </w:p>
    <w:p w:rsidR="341B2C9E" w:rsidP="5FC1D7DE" w14:paraId="0DF351E7" w14:textId="6C719CD5">
      <w:pPr>
        <w:rPr>
          <w:rFonts w:ascii="Arial" w:eastAsia="Arial" w:hAnsi="Arial" w:cs="Arial"/>
          <w:color w:val="000000" w:themeColor="text1"/>
        </w:rPr>
      </w:pPr>
    </w:p>
    <w:p w:rsidR="341B2C9E" w:rsidP="0BBC2D06" w14:paraId="613A9442" w14:textId="0B3F5E94">
      <w:pPr>
        <w:spacing w:line="259" w:lineRule="auto"/>
        <w:rPr>
          <w:rFonts w:ascii="Arial" w:eastAsia="Arial" w:hAnsi="Arial" w:cs="Arial"/>
        </w:rPr>
      </w:pPr>
      <w:r w:rsidRPr="2317366D">
        <w:rPr>
          <w:rFonts w:ascii="Arial" w:eastAsia="Arial" w:hAnsi="Arial" w:cs="Arial"/>
          <w:color w:val="000000" w:themeColor="text1"/>
        </w:rPr>
        <w:t>Notas:</w:t>
      </w:r>
    </w:p>
    <w:p w:rsidR="341B2C9E" w:rsidP="2317366D" w14:paraId="6205E056" w14:textId="6A021431">
      <w:pPr>
        <w:pStyle w:val="ListParagraph"/>
        <w:numPr>
          <w:ilvl w:val="0"/>
          <w:numId w:val="2"/>
        </w:numPr>
        <w:spacing w:line="259" w:lineRule="auto"/>
        <w:rPr>
          <w:rFonts w:ascii="Arial" w:eastAsia="Arial" w:hAnsi="Arial" w:cs="Arial"/>
        </w:rPr>
      </w:pPr>
      <w:r w:rsidRPr="2317366D">
        <w:rPr>
          <w:rFonts w:ascii="Arial" w:eastAsia="Arial" w:hAnsi="Arial" w:cs="Arial"/>
          <w:color w:val="000000" w:themeColor="text1"/>
        </w:rPr>
        <w:t xml:space="preserve">Mientras se encuentre en el estado “Revisión del CH”, el CH cargará el PAC y la evidencia del cierre de NC. </w:t>
      </w:r>
    </w:p>
    <w:p w:rsidR="341B2C9E" w:rsidP="2317366D" w14:paraId="1F6CE0C8" w14:textId="23F6A24E">
      <w:pPr>
        <w:pStyle w:val="ListParagraph"/>
        <w:numPr>
          <w:ilvl w:val="0"/>
          <w:numId w:val="2"/>
        </w:numPr>
        <w:spacing w:line="259" w:lineRule="auto"/>
        <w:rPr>
          <w:rFonts w:ascii="Arial" w:eastAsia="Arial" w:hAnsi="Arial" w:cs="Arial"/>
        </w:rPr>
      </w:pPr>
      <w:r w:rsidRPr="2317366D">
        <w:rPr>
          <w:rFonts w:ascii="Arial" w:eastAsia="Arial" w:hAnsi="Arial" w:cs="Arial"/>
          <w:color w:val="000000" w:themeColor="text1"/>
        </w:rPr>
        <w:t>Después de 15 días, o si el CH complet</w:t>
      </w:r>
      <w:r w:rsidRPr="2317366D">
        <w:rPr>
          <w:rFonts w:ascii="Arial" w:eastAsia="Arial" w:hAnsi="Arial" w:cs="Arial"/>
          <w:color w:val="0078D4"/>
          <w:u w:val="single"/>
        </w:rPr>
        <w:t>a</w:t>
      </w:r>
      <w:r w:rsidRPr="2317366D">
        <w:rPr>
          <w:rFonts w:ascii="Arial" w:eastAsia="Arial" w:hAnsi="Arial" w:cs="Arial"/>
          <w:color w:val="000000" w:themeColor="text1"/>
        </w:rPr>
        <w:t xml:space="preserve"> su documentación antes de la fecha límite de</w:t>
      </w:r>
      <w:r w:rsidRPr="2317366D">
        <w:rPr>
          <w:rFonts w:ascii="Arial" w:eastAsia="Arial" w:hAnsi="Arial" w:cs="Arial"/>
          <w:color w:val="0078D4"/>
          <w:u w:val="single"/>
        </w:rPr>
        <w:t xml:space="preserve"> </w:t>
      </w:r>
      <w:r>
        <w:t>15</w:t>
      </w:r>
      <w:r w:rsidRPr="2317366D">
        <w:rPr>
          <w:rFonts w:ascii="Arial" w:eastAsia="Arial" w:hAnsi="Arial" w:cs="Arial"/>
          <w:color w:val="000000" w:themeColor="text1"/>
        </w:rPr>
        <w:t>días, el formulario de Revisión y cierre de NC se devolverá al CAB para su revisión.</w:t>
      </w:r>
    </w:p>
    <w:p w:rsidR="341B2C9E" w:rsidP="2317366D" w14:paraId="12D2795C" w14:textId="4D1D7CBF">
      <w:pPr>
        <w:pStyle w:val="ListParagraph"/>
        <w:numPr>
          <w:ilvl w:val="0"/>
          <w:numId w:val="2"/>
        </w:numPr>
        <w:spacing w:line="259" w:lineRule="auto"/>
        <w:rPr>
          <w:rFonts w:ascii="Arial" w:eastAsia="Arial" w:hAnsi="Arial" w:cs="Arial"/>
        </w:rPr>
      </w:pPr>
      <w:r w:rsidRPr="2317366D">
        <w:rPr>
          <w:rFonts w:ascii="Arial" w:eastAsia="Arial" w:hAnsi="Arial" w:cs="Arial"/>
          <w:color w:val="000000" w:themeColor="text1"/>
        </w:rPr>
        <w:t xml:space="preserve">Pueden llevarse a cabo hasta cinco rondas de revisión. </w:t>
      </w:r>
    </w:p>
    <w:p w:rsidR="341B2C9E" w:rsidP="2317366D" w14:paraId="04AF0D5A" w14:textId="00B83881">
      <w:pPr>
        <w:pStyle w:val="ListParagraph"/>
        <w:numPr>
          <w:ilvl w:val="0"/>
          <w:numId w:val="2"/>
        </w:numPr>
        <w:spacing w:line="259" w:lineRule="auto"/>
        <w:rPr>
          <w:rFonts w:ascii="Arial" w:eastAsia="Arial" w:hAnsi="Arial" w:cs="Arial"/>
        </w:rPr>
      </w:pPr>
      <w:r w:rsidRPr="2317366D">
        <w:rPr>
          <w:rFonts w:ascii="Arial" w:eastAsia="Arial" w:hAnsi="Arial" w:cs="Arial"/>
          <w:color w:val="000000" w:themeColor="text1"/>
        </w:rPr>
        <w:t xml:space="preserve">Cuando se hayan abordado todos los NC, el formulario se puede marcar como completo. </w:t>
      </w:r>
    </w:p>
    <w:p w:rsidR="341B2C9E" w:rsidP="2317366D" w14:paraId="04411B97" w14:textId="43BC374E">
      <w:pPr>
        <w:pStyle w:val="ListParagraph"/>
        <w:numPr>
          <w:ilvl w:val="0"/>
          <w:numId w:val="2"/>
        </w:numPr>
        <w:spacing w:line="259" w:lineRule="auto"/>
        <w:rPr>
          <w:rFonts w:ascii="Arial" w:eastAsia="Arial" w:hAnsi="Arial" w:cs="Arial"/>
        </w:rPr>
      </w:pPr>
      <w:r w:rsidRPr="2317366D">
        <w:rPr>
          <w:rFonts w:ascii="Arial" w:eastAsia="Arial" w:hAnsi="Arial" w:cs="Arial"/>
          <w:color w:val="000000" w:themeColor="text1"/>
        </w:rPr>
        <w:t xml:space="preserve">El nuevo formulario de Revisión y cierre de NC hace un seguimiento de los cambios realizados durante cada ronda de revisión. </w:t>
      </w:r>
    </w:p>
    <w:p w:rsidR="341B2C9E" w:rsidP="2317366D" w14:paraId="011966AE" w14:textId="434E3C77">
      <w:pPr>
        <w:pStyle w:val="ListParagraph"/>
        <w:numPr>
          <w:ilvl w:val="0"/>
          <w:numId w:val="2"/>
        </w:numPr>
        <w:spacing w:line="259" w:lineRule="auto"/>
        <w:rPr>
          <w:rFonts w:ascii="Arial" w:eastAsia="Arial" w:hAnsi="Arial" w:cs="Arial"/>
        </w:rPr>
      </w:pPr>
      <w:r w:rsidRPr="2317366D">
        <w:rPr>
          <w:rFonts w:ascii="Arial" w:eastAsia="Arial" w:hAnsi="Arial" w:cs="Arial"/>
          <w:color w:val="000000" w:themeColor="text1"/>
        </w:rPr>
        <w:t xml:space="preserve">Una vez que se complete el proceso de Revisión y cierre de NC, no es necesario cargar el formulario en Box. </w:t>
      </w:r>
    </w:p>
    <w:p w:rsidR="341B2C9E" w:rsidP="2317366D" w14:paraId="113368A1" w14:textId="6DD0EF6F">
      <w:pPr>
        <w:pStyle w:val="ListParagraph"/>
        <w:numPr>
          <w:ilvl w:val="0"/>
          <w:numId w:val="2"/>
        </w:numPr>
        <w:spacing w:line="259" w:lineRule="auto"/>
        <w:rPr>
          <w:rFonts w:ascii="Arial" w:eastAsia="Arial" w:hAnsi="Arial" w:cs="Arial"/>
        </w:rPr>
      </w:pPr>
      <w:r w:rsidRPr="2317366D">
        <w:rPr>
          <w:rFonts w:ascii="Arial" w:eastAsia="Arial" w:hAnsi="Arial" w:cs="Arial"/>
          <w:color w:val="000000" w:themeColor="text1"/>
        </w:rPr>
        <w:t>Para obtener más información sobre los reportes de auditoría en ChainPoint, consulte "Cómo revisar y abordar los PAC en el formulario de cierre de NC".</w:t>
      </w:r>
    </w:p>
    <w:p w:rsidR="40852629" w:rsidP="40852629" w14:paraId="1168082B" w14:textId="4853F8CD">
      <w:pPr>
        <w:rPr>
          <w:rFonts w:ascii="Arial" w:hAnsi="Arial" w:cs="Arial"/>
        </w:rPr>
      </w:pPr>
    </w:p>
    <w:sectPr w:rsidSect="00B50EC8">
      <w:headerReference w:type="default" r:id="rId5"/>
      <w:footerReference w:type="even"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394555344"/>
      <w:docPartObj>
        <w:docPartGallery w:val="Page Numbers (Bottom of Page)"/>
        <w:docPartUnique/>
      </w:docPartObj>
    </w:sdtPr>
    <w:sdtContent>
      <w:p w:rsidR="00AC0D5A" w:rsidP="00C61C0E" w14:paraId="18F40B56" w14:textId="3814A9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sdt>
    <w:sdtPr>
      <w:rPr>
        <w:rStyle w:val="PageNumber"/>
      </w:rPr>
      <w:id w:val="-167244213"/>
      <w:docPartObj>
        <w:docPartGallery w:val="Page Numbers (Bottom of Page)"/>
        <w:docPartUnique/>
      </w:docPartObj>
    </w:sdtPr>
    <w:sdtContent>
      <w:p w:rsidR="006B1C86" w:rsidP="00AC0D5A" w14:paraId="3C4F78FE" w14:textId="15ABCDDA">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2213AD" w:rsidP="006B1C86" w14:paraId="33C1A18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Fonts w:ascii="Arial" w:hAnsi="Arial" w:cs="Arial"/>
        <w:color w:val="7F7F7F" w:themeColor="text1" w:themeTint="80"/>
      </w:rPr>
      <w:id w:val="-773316345"/>
      <w:docPartObj>
        <w:docPartGallery w:val="Page Numbers (Bottom of Page)"/>
        <w:docPartUnique/>
      </w:docPartObj>
    </w:sdtPr>
    <w:sdtContent>
      <w:p w:rsidR="00AC0D5A" w:rsidRPr="00AC0D5A" w:rsidP="00C61C0E" w14:paraId="071D6232" w14:textId="4049C4BA">
        <w:pPr>
          <w:pStyle w:val="Footer"/>
          <w:framePr w:wrap="none" w:vAnchor="text" w:hAnchor="margin" w:xAlign="right" w:y="1"/>
          <w:rPr>
            <w:rStyle w:val="PageNumber"/>
            <w:rFonts w:ascii="Arial" w:hAnsi="Arial" w:cs="Arial"/>
            <w:color w:val="7F7F7F" w:themeColor="text1" w:themeTint="80"/>
          </w:rPr>
        </w:pPr>
        <w:r w:rsidRPr="00AC0D5A">
          <w:rPr>
            <w:rStyle w:val="PageNumber"/>
            <w:rFonts w:ascii="Arial" w:hAnsi="Arial" w:cs="Arial"/>
            <w:color w:val="7F7F7F" w:themeColor="text1" w:themeTint="80"/>
          </w:rPr>
          <w:t xml:space="preserve">Página </w:t>
        </w:r>
        <w:r w:rsidRPr="00AC0D5A">
          <w:rPr>
            <w:rStyle w:val="PageNumber"/>
            <w:rFonts w:ascii="Arial" w:hAnsi="Arial" w:cs="Arial"/>
            <w:color w:val="7F7F7F" w:themeColor="text1" w:themeTint="80"/>
          </w:rPr>
          <w:fldChar w:fldCharType="begin"/>
        </w:r>
        <w:r w:rsidRPr="00AC0D5A">
          <w:rPr>
            <w:rStyle w:val="PageNumber"/>
            <w:rFonts w:ascii="Arial" w:hAnsi="Arial" w:cs="Arial"/>
            <w:color w:val="7F7F7F" w:themeColor="text1" w:themeTint="80"/>
          </w:rPr>
          <w:instrText xml:space="preserve"> PAGE </w:instrText>
        </w:r>
        <w:r w:rsidRPr="00AC0D5A">
          <w:rPr>
            <w:rStyle w:val="PageNumber"/>
            <w:rFonts w:ascii="Arial" w:hAnsi="Arial" w:cs="Arial"/>
            <w:color w:val="7F7F7F" w:themeColor="text1" w:themeTint="80"/>
          </w:rPr>
          <w:fldChar w:fldCharType="separate"/>
        </w:r>
        <w:r w:rsidRPr="00AC0D5A">
          <w:rPr>
            <w:rStyle w:val="PageNumber"/>
            <w:rFonts w:ascii="Arial" w:hAnsi="Arial" w:cs="Arial"/>
            <w:color w:val="7F7F7F" w:themeColor="text1" w:themeTint="80"/>
          </w:rPr>
          <w:t>4</w:t>
        </w:r>
        <w:r w:rsidRPr="00AC0D5A">
          <w:rPr>
            <w:rStyle w:val="PageNumber"/>
            <w:rFonts w:ascii="Arial" w:hAnsi="Arial" w:cs="Arial"/>
            <w:color w:val="7F7F7F" w:themeColor="text1" w:themeTint="80"/>
          </w:rPr>
          <w:fldChar w:fldCharType="end"/>
        </w:r>
      </w:p>
    </w:sdtContent>
  </w:sdt>
  <w:p w:rsidR="002213AD" w:rsidRPr="00AC0D5A" w:rsidP="05B14ABB" w14:paraId="2FF3C70A" w14:textId="5C6A4031">
    <w:pPr>
      <w:pStyle w:val="Footer"/>
      <w:ind w:right="360"/>
      <w:rPr>
        <w:rFonts w:ascii="Arial" w:hAnsi="Arial" w:cs="Arial"/>
        <w:noProof/>
        <w:color w:val="7F7F7F" w:themeColor="text1" w:themeTint="80"/>
      </w:rPr>
    </w:pPr>
    <w:r w:rsidRPr="05B14ABB">
      <w:rPr>
        <w:rFonts w:ascii="Arial" w:hAnsi="Arial" w:cs="Arial"/>
        <w:color w:val="7F7F7F" w:themeColor="text1" w:themeTint="80"/>
      </w:rPr>
      <w:fldChar w:fldCharType="begin"/>
    </w:r>
    <w:r w:rsidRPr="05B14ABB">
      <w:rPr>
        <w:rFonts w:ascii="Arial" w:hAnsi="Arial" w:cs="Arial"/>
        <w:color w:val="7F7F7F" w:themeColor="text1" w:themeTint="80"/>
      </w:rPr>
      <w:instrText xml:space="preserve"> DATE \@ "d MMMM yyyy" </w:instrText>
    </w:r>
    <w:r w:rsidRPr="05B14ABB">
      <w:rPr>
        <w:rFonts w:ascii="Arial" w:hAnsi="Arial" w:cs="Arial"/>
        <w:color w:val="7F7F7F" w:themeColor="text1" w:themeTint="80"/>
      </w:rPr>
      <w:fldChar w:fldCharType="separate"/>
    </w:r>
    <w:r w:rsidRPr="05B14ABB">
      <w:rPr>
        <w:rFonts w:ascii="Arial" w:hAnsi="Arial" w:cs="Arial"/>
        <w:color w:val="7F7F7F" w:themeColor="text1" w:themeTint="80"/>
      </w:rPr>
      <w:t>14 May 2024</w:t>
    </w:r>
    <w:r w:rsidRPr="05B14ABB">
      <w:rPr>
        <w:rFonts w:ascii="Arial" w:hAnsi="Arial" w:cs="Arial"/>
        <w:color w:val="7F7F7F" w:themeColor="text1" w:themeTint="8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3027D9F4" w14:textId="77777777" w:rsidTr="05B14ABB">
      <w:tblPrEx>
        <w:tblW w:w="0" w:type="auto"/>
        <w:tblLayout w:type="fixed"/>
        <w:tblLook w:val="06A0"/>
      </w:tblPrEx>
      <w:trPr>
        <w:trHeight w:val="300"/>
      </w:trPr>
      <w:tc>
        <w:tcPr>
          <w:tcW w:w="3120" w:type="dxa"/>
        </w:tcPr>
        <w:p w:rsidR="05B14ABB" w:rsidP="05B14ABB" w14:paraId="6BE118CC" w14:textId="20915DF7">
          <w:pPr>
            <w:pStyle w:val="Header"/>
            <w:ind w:left="-115"/>
          </w:pPr>
        </w:p>
      </w:tc>
      <w:tc>
        <w:tcPr>
          <w:tcW w:w="3120" w:type="dxa"/>
        </w:tcPr>
        <w:p w:rsidR="05B14ABB" w:rsidP="05B14ABB" w14:paraId="7D8E013D" w14:textId="0968306F">
          <w:pPr>
            <w:pStyle w:val="Header"/>
            <w:jc w:val="center"/>
          </w:pPr>
        </w:p>
      </w:tc>
      <w:tc>
        <w:tcPr>
          <w:tcW w:w="3120" w:type="dxa"/>
        </w:tcPr>
        <w:p w:rsidR="05B14ABB" w:rsidP="05B14ABB" w14:paraId="40FA7EE6" w14:textId="1356C2D3">
          <w:pPr>
            <w:pStyle w:val="Header"/>
            <w:ind w:right="-115"/>
            <w:jc w:val="right"/>
          </w:pPr>
        </w:p>
      </w:tc>
    </w:tr>
  </w:tbl>
  <w:p w:rsidR="05B14ABB" w:rsidP="05B14ABB" w14:paraId="2C8025B8" w14:textId="280327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6B700F"/>
    <w:multiLevelType w:val="hybridMultilevel"/>
    <w:tmpl w:val="10E0C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BA4052"/>
    <w:multiLevelType w:val="hybridMultilevel"/>
    <w:tmpl w:val="C270C4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10359B6"/>
    <w:multiLevelType w:val="hybridMultilevel"/>
    <w:tmpl w:val="E8D00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3BA643C"/>
    <w:multiLevelType w:val="hybridMultilevel"/>
    <w:tmpl w:val="A0569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A4CC78A"/>
    <w:multiLevelType w:val="hybridMultilevel"/>
    <w:tmpl w:val="18E6B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37489C17"/>
    <w:multiLevelType w:val="hybridMultilevel"/>
    <w:tmpl w:val="F04409C4"/>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75C031A"/>
    <w:multiLevelType w:val="hybridMultilevel"/>
    <w:tmpl w:val="3FFE87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12C072C"/>
    <w:multiLevelType w:val="hybridMultilevel"/>
    <w:tmpl w:val="C270C4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5BDFA07"/>
    <w:multiLevelType w:val="hybridMultilevel"/>
    <w:tmpl w:val="EF66D8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56B412BC"/>
    <w:multiLevelType w:val="hybridMultilevel"/>
    <w:tmpl w:val="12D00C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E0BF19C"/>
    <w:multiLevelType w:val="hybridMultilevel"/>
    <w:tmpl w:val="FBD249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7AD0CA3E"/>
    <w:multiLevelType w:val="hybridMultilevel"/>
    <w:tmpl w:val="ACDAAE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0"/>
  </w:num>
  <w:num w:numId="4">
    <w:abstractNumId w:val="3"/>
  </w:num>
  <w:num w:numId="5">
    <w:abstractNumId w:val="5"/>
  </w:num>
  <w:num w:numId="6">
    <w:abstractNumId w:val="4"/>
  </w:num>
  <w:num w:numId="7">
    <w:abstractNumId w:val="2"/>
  </w:num>
  <w:num w:numId="8">
    <w:abstractNumId w:val="7"/>
  </w:num>
  <w:num w:numId="9">
    <w:abstractNumId w:val="1"/>
  </w:num>
  <w:num w:numId="10">
    <w:abstractNumId w:val="9"/>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F3"/>
    <w:rsid w:val="00033A2D"/>
    <w:rsid w:val="000969DA"/>
    <w:rsid w:val="000A44B4"/>
    <w:rsid w:val="000B5013"/>
    <w:rsid w:val="000D1829"/>
    <w:rsid w:val="000E2053"/>
    <w:rsid w:val="001E1190"/>
    <w:rsid w:val="002213AD"/>
    <w:rsid w:val="00257F55"/>
    <w:rsid w:val="00265733"/>
    <w:rsid w:val="002C60FE"/>
    <w:rsid w:val="002D1BB8"/>
    <w:rsid w:val="00310310"/>
    <w:rsid w:val="00310D92"/>
    <w:rsid w:val="00355A8A"/>
    <w:rsid w:val="00366FC8"/>
    <w:rsid w:val="00424CBD"/>
    <w:rsid w:val="004920DC"/>
    <w:rsid w:val="0051398C"/>
    <w:rsid w:val="00577545"/>
    <w:rsid w:val="00593125"/>
    <w:rsid w:val="005E2A61"/>
    <w:rsid w:val="00607360"/>
    <w:rsid w:val="00647F05"/>
    <w:rsid w:val="00694C2B"/>
    <w:rsid w:val="0069731E"/>
    <w:rsid w:val="006A5568"/>
    <w:rsid w:val="006B1C86"/>
    <w:rsid w:val="006C3A7F"/>
    <w:rsid w:val="006E5063"/>
    <w:rsid w:val="00786B3E"/>
    <w:rsid w:val="007A4569"/>
    <w:rsid w:val="007F6EA8"/>
    <w:rsid w:val="00850EF5"/>
    <w:rsid w:val="008557DD"/>
    <w:rsid w:val="008C2B85"/>
    <w:rsid w:val="008D00AD"/>
    <w:rsid w:val="008E774E"/>
    <w:rsid w:val="009117C2"/>
    <w:rsid w:val="00963E74"/>
    <w:rsid w:val="00A12194"/>
    <w:rsid w:val="00A27BBE"/>
    <w:rsid w:val="00A82D91"/>
    <w:rsid w:val="00AA3E47"/>
    <w:rsid w:val="00AC0D5A"/>
    <w:rsid w:val="00B14E8B"/>
    <w:rsid w:val="00B50EC8"/>
    <w:rsid w:val="00B70FF5"/>
    <w:rsid w:val="00BB3190"/>
    <w:rsid w:val="00C4522E"/>
    <w:rsid w:val="00C61610"/>
    <w:rsid w:val="00C61C0E"/>
    <w:rsid w:val="00CF2CC2"/>
    <w:rsid w:val="00CF7FBE"/>
    <w:rsid w:val="00D3517E"/>
    <w:rsid w:val="00D4519A"/>
    <w:rsid w:val="00D80DA4"/>
    <w:rsid w:val="00DE6D0E"/>
    <w:rsid w:val="00E00401"/>
    <w:rsid w:val="00E135B3"/>
    <w:rsid w:val="00E61EF3"/>
    <w:rsid w:val="00E73A92"/>
    <w:rsid w:val="00E84998"/>
    <w:rsid w:val="00ED490F"/>
    <w:rsid w:val="00F2009E"/>
    <w:rsid w:val="00F720F7"/>
    <w:rsid w:val="05B14ABB"/>
    <w:rsid w:val="09C11866"/>
    <w:rsid w:val="0BBC2D06"/>
    <w:rsid w:val="1B1C4EED"/>
    <w:rsid w:val="1CA46848"/>
    <w:rsid w:val="22A05D3F"/>
    <w:rsid w:val="2317366D"/>
    <w:rsid w:val="33347CA8"/>
    <w:rsid w:val="341B2C9E"/>
    <w:rsid w:val="36BBB725"/>
    <w:rsid w:val="40852629"/>
    <w:rsid w:val="495A1AF2"/>
    <w:rsid w:val="50572D14"/>
    <w:rsid w:val="5FC1D7DE"/>
    <w:rsid w:val="674FA610"/>
    <w:rsid w:val="7AB7690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3954F13"/>
  <w15:chartTrackingRefBased/>
  <w15:docId w15:val="{2A9AA226-EFF5-3842-93E5-50D6758C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rtl w:val="0"/>
        <w:lang w:eastAsia="en-US" w:bidi="ar-SA"/>
        <w14:ligatures w14:val="standardContextual"/>
      </w:rPr>
    </w:rPrDefault>
    <w:pPrDefault>
      <w:pPr>
        <w:bidi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A2D"/>
    <w:pPr>
      <w:ind w:left="720"/>
      <w:contextualSpacing/>
    </w:pPr>
  </w:style>
  <w:style w:type="paragraph" w:styleId="Header">
    <w:name w:val="header"/>
    <w:basedOn w:val="Normal"/>
    <w:link w:val="HeaderChar"/>
    <w:uiPriority w:val="99"/>
    <w:unhideWhenUsed/>
    <w:rsid w:val="002213AD"/>
    <w:pPr>
      <w:tabs>
        <w:tab w:val="center" w:pos="4680"/>
        <w:tab w:val="right" w:pos="9360"/>
      </w:tabs>
    </w:pPr>
  </w:style>
  <w:style w:type="character" w:customStyle="1" w:styleId="HeaderChar">
    <w:name w:val="Header Char"/>
    <w:basedOn w:val="DefaultParagraphFont"/>
    <w:link w:val="Header"/>
    <w:uiPriority w:val="99"/>
    <w:rsid w:val="002213AD"/>
  </w:style>
  <w:style w:type="paragraph" w:styleId="Footer">
    <w:name w:val="footer"/>
    <w:basedOn w:val="Normal"/>
    <w:link w:val="FooterChar"/>
    <w:uiPriority w:val="99"/>
    <w:unhideWhenUsed/>
    <w:rsid w:val="002213AD"/>
    <w:pPr>
      <w:tabs>
        <w:tab w:val="center" w:pos="4680"/>
        <w:tab w:val="right" w:pos="9360"/>
      </w:tabs>
    </w:pPr>
  </w:style>
  <w:style w:type="character" w:customStyle="1" w:styleId="FooterChar">
    <w:name w:val="Footer Char"/>
    <w:basedOn w:val="DefaultParagraphFont"/>
    <w:link w:val="Footer"/>
    <w:uiPriority w:val="99"/>
    <w:rsid w:val="002213AD"/>
  </w:style>
  <w:style w:type="character" w:styleId="PageNumber">
    <w:name w:val="page number"/>
    <w:basedOn w:val="DefaultParagraphFont"/>
    <w:uiPriority w:val="99"/>
    <w:semiHidden/>
    <w:unhideWhenUsed/>
    <w:rsid w:val="006B1C86"/>
  </w:style>
  <w:style w:type="paragraph" w:styleId="NoSpacing">
    <w:name w:val="No Spacing"/>
    <w:uiPriority w:val="1"/>
    <w:qFormat/>
    <w:rsid w:val="006B1C86"/>
    <w:rPr>
      <w:rFonts w:eastAsiaTheme="minorEastAsia"/>
      <w:kern w:val="0"/>
      <w:sz w:val="22"/>
      <w:szCs w:val="22"/>
      <w:lang w:eastAsia="zh-CN"/>
      <w14:ligatures w14:val="none"/>
    </w:rPr>
  </w:style>
  <w:style w:type="table" w:styleId="TableGrid">
    <w:name w:val="Table Grid"/>
    <w:basedOn w:val="TableNormal"/>
    <w:uiPriority w:val="39"/>
    <w:rsid w:val="00786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Light">
    <w:name w:val="Grid Table Light"/>
    <w:basedOn w:val="TableNormal"/>
    <w:uiPriority w:val="40"/>
    <w:rsid w:val="00786B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786B3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694C2B"/>
    <w:rPr>
      <w:color w:val="0563C1" w:themeColor="hyperlink"/>
      <w:u w:val="single"/>
    </w:rPr>
  </w:style>
  <w:style w:type="character" w:customStyle="1" w:styleId="UnresolvedMention">
    <w:name w:val="Unresolved Mention"/>
    <w:basedOn w:val="DefaultParagraphFont"/>
    <w:uiPriority w:val="99"/>
    <w:semiHidden/>
    <w:unhideWhenUsed/>
    <w:rsid w:val="00694C2B"/>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27BBE"/>
  </w:style>
  <w:style w:type="paragraph" w:styleId="CommentSubject">
    <w:name w:val="annotation subject"/>
    <w:basedOn w:val="CommentText"/>
    <w:next w:val="CommentText"/>
    <w:link w:val="CommentSubjectChar"/>
    <w:uiPriority w:val="99"/>
    <w:semiHidden/>
    <w:unhideWhenUsed/>
    <w:rsid w:val="00A27BBE"/>
    <w:rPr>
      <w:b/>
      <w:bCs/>
    </w:rPr>
  </w:style>
  <w:style w:type="character" w:customStyle="1" w:styleId="CommentSubjectChar">
    <w:name w:val="Comment Subject Char"/>
    <w:basedOn w:val="CommentTextChar"/>
    <w:link w:val="CommentSubject"/>
    <w:uiPriority w:val="99"/>
    <w:semiHidden/>
    <w:rsid w:val="00A27B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740</Words>
  <Characters>4224</Characters>
  <Application>Microsoft Office Word</Application>
  <DocSecurity>0</DocSecurity>
  <Lines>35</Lines>
  <Paragraphs>9</Paragraphs>
  <ScaleCrop>false</ScaleCrop>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Celena Foglia</dc:creator>
  <cp:lastModifiedBy>Nichol Weisbecker</cp:lastModifiedBy>
  <cp:revision>4</cp:revision>
  <dcterms:created xsi:type="dcterms:W3CDTF">2024-05-09T20:01:00Z</dcterms:created>
  <dcterms:modified xsi:type="dcterms:W3CDTF">2024-05-13T18:08:00Z</dcterms:modified>
</cp:coreProperties>
</file>